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320"/>
      </w:pPr>
      <w:r>
        <w:rPr>
          <w:i w:val="false"/>
          <w:iCs w:val="false"/>
        </w:rPr>
        <w:t xml:space="preserve">Equip Foods — cohort LTR reconciliation</w:t>
      </w:r>
    </w:p>
    <w:p>
      <w:pPr>
        <w:spacing w:after="140" w:before="0" w:line="276"/>
      </w:pPr>
      <w:r>
        <w:rPr>
          <w:b/>
          <w:bCs/>
          <w:i w:val="false"/>
          <w:iCs w:val="false"/>
        </w:rPr>
        <w:t xml:space="preserve">Internal. Not for the client.</w:t>
      </w:r>
      <w:r>
        <w:rPr>
          <w:i w:val="false"/>
          <w:iCs w:val="false"/>
        </w:rPr>
        <w:t xml:space="preserve"> Audience: Koundinya, Dheeksha. Written 2026-10-05.</w:t>
      </w:r>
    </w:p>
    <w:p>
      <w:pPr>
        <w:pBdr>
          <w:bottom w:val="single" w:color="D4D4D8" w:sz="6" w:space="1"/>
        </w:pBdr>
        <w:spacing w:after="200" w:before="80"/>
      </w:pPr>
    </w:p>
    <w:p>
      <w:pPr>
        <w:pStyle w:val="Heading1"/>
        <w:spacing w:after="120" w:before="320"/>
      </w:pPr>
      <w:r>
        <w:rPr>
          <w:i w:val="false"/>
          <w:iCs w:val="false"/>
        </w:rPr>
        <w:t xml:space="preserve">0. Read this first — what this document is and isn't</w:t>
      </w:r>
    </w:p>
    <w:p>
      <w:pPr>
        <w:spacing w:after="140" w:before="0" w:line="276"/>
      </w:pPr>
      <w:r>
        <w:rPr>
          <w:i w:val="false"/>
          <w:iCs w:val="false"/>
        </w:rPr>
        <w:t xml:space="preserve">This explains why our Cohorts Dashboard disagreed with the client's "Equip LTV analysis", what we changed to close it, and what is still open. It is written so someone who was not in the investigation can follow it.</w:t>
      </w:r>
    </w:p>
    <w:p>
      <w:pPr>
        <w:spacing w:after="140" w:before="0" w:line="276"/>
      </w:pPr>
      <w:r>
        <w:rPr>
          <w:b/>
          <w:bCs/>
          <w:i w:val="false"/>
          <w:iCs w:val="false"/>
        </w:rPr>
        <w:t xml:space="preserve">Diff convention, used everywhere:</w:t>
      </w:r>
      <w:r>
        <w:rPr>
          <w:i w:val="false"/>
          <w:iCs w:val="false"/>
        </w:rPr>
        <w:t xml:space="preserve"> </w:t>
      </w:r>
      <w:r>
        <w:rPr>
          <w:rFonts w:ascii="Consolas" w:cs="Consolas" w:eastAsia="Consolas" w:hAnsi="Consolas"/>
          <w:i w:val="false"/>
          <w:iCs w:val="false"/>
          <w:sz w:val="17"/>
          <w:szCs w:val="17"/>
        </w:rPr>
        <w:t xml:space="preserve">(ours − client) / client</w:t>
      </w:r>
      <w:r>
        <w:rPr>
          <w:i w:val="false"/>
          <w:iCs w:val="false"/>
        </w:rPr>
        <w:t xml:space="preserve">, computed on </w:t>
      </w:r>
      <w:r>
        <w:rPr>
          <w:b/>
          <w:bCs/>
          <w:i w:val="false"/>
          <w:iCs w:val="false"/>
        </w:rPr>
        <w:t xml:space="preserve">LTR per customer</w:t>
      </w:r>
      <w:r>
        <w:rPr>
          <w:i w:val="false"/>
          <w:iCs w:val="false"/>
        </w:rPr>
        <w:t xml:space="preserve">. Negative means we are </w:t>
      </w:r>
      <w:r>
        <w:rPr>
          <w:i/>
          <w:iCs/>
        </w:rPr>
        <w:t xml:space="preserve">below</w:t>
      </w:r>
      <w:r>
        <w:rPr>
          <w:i w:val="false"/>
          <w:iCs w:val="false"/>
        </w:rPr>
        <w:t xml:space="preserve"> the client. </w:t>
      </w:r>
      <w:r>
        <w:rPr>
          <w:i/>
          <w:iCs/>
        </w:rPr>
        <w:t xml:space="preserve">The companion Excel file uses the opposite sign, </w:t>
      </w:r>
      <w:r>
        <w:rPr>
          <w:rFonts w:ascii="Consolas" w:cs="Consolas" w:eastAsia="Consolas" w:hAnsi="Consolas"/>
          <w:i/>
          <w:iCs/>
          <w:sz w:val="17"/>
          <w:szCs w:val="17"/>
        </w:rPr>
        <w:t xml:space="preserve">(client − ours) / client</w:t>
      </w:r>
      <w:r>
        <w:rPr>
          <w:i/>
          <w:iCs/>
        </w:rPr>
        <w:t xml:space="preserve">. That is the only place the other convention appears, and it is labelled there.</w:t>
      </w:r>
    </w:p>
    <w:p>
      <w:pPr>
        <w:spacing w:after="140" w:before="0" w:line="276"/>
      </w:pPr>
      <w:r>
        <w:rPr>
          <w:b/>
          <w:bCs/>
          <w:i w:val="false"/>
          <w:iCs w:val="false"/>
        </w:rPr>
        <w:t xml:space="preserve">Provenance of every number.</w:t>
      </w:r>
      <w:r>
        <w:rPr>
          <w:i w:val="false"/>
          <w:iCs w:val="false"/>
        </w:rPr>
        <w:t xml:space="preserve"> Every figure comes from a BigQuery run executed during the investigation, named in the text. Nothing here was re-run today — see §11 for why, and treat that as a real limitation rather than a footnote.</w:t>
      </w:r>
    </w:p>
    <w:p>
      <w:pPr>
        <w:pBdr>
          <w:bottom w:val="single" w:color="D4D4D8" w:sz="6" w:space="1"/>
        </w:pBdr>
        <w:spacing w:after="200" w:before="80"/>
      </w:pPr>
    </w:p>
    <w:p>
      <w:pPr>
        <w:pStyle w:val="Heading1"/>
        <w:spacing w:after="120" w:before="320"/>
      </w:pPr>
      <w:r>
        <w:rPr>
          <w:i w:val="false"/>
          <w:iCs w:val="false"/>
        </w:rPr>
        <w:t xml:space="preserve">1. Executive summary</w:t>
      </w:r>
    </w:p>
    <w:p>
      <w:pPr>
        <w:spacing w:after="140" w:before="0" w:line="276"/>
      </w:pPr>
      <w:r>
        <w:rPr>
          <w:i w:val="false"/>
          <w:iCs w:val="false"/>
        </w:rPr>
        <w:t xml:space="preserve">Our cohort LTR disagreed with the client's by up to </w:t>
      </w:r>
      <w:r>
        <w:rPr>
          <w:b/>
          <w:bCs/>
          <w:i w:val="false"/>
          <w:iCs w:val="false"/>
        </w:rPr>
        <w:t xml:space="preserve">51%</w:t>
      </w:r>
      <w:r>
        <w:rPr>
          <w:i w:val="false"/>
          <w:iCs w:val="false"/>
        </w:rPr>
        <w:t xml:space="preserve"> on the oldest cohorts. Two causes, one large and one small.</w:t>
      </w:r>
    </w:p>
    <w:p>
      <w:pPr>
        <w:spacing w:after="140" w:before="0" w:line="276"/>
      </w:pPr>
      <w:r>
        <w:rPr>
          <w:b/>
          <w:bCs/>
          <w:i w:val="false"/>
          <w:iCs w:val="false"/>
        </w:rPr>
        <w:t xml:space="preserve">The large one is attribution.</w:t>
      </w:r>
      <w:r>
        <w:rPr>
          <w:i w:val="false"/>
          <w:iCs w:val="false"/>
        </w:rPr>
        <w:t xml:space="preserve"> We locked every customer into the bucket they were acquired in and left them there for life. A customer acquired on a one-time order who later subscribed had all their subscription revenue counted as OTP. The client moves that revenue. This single change takes the mean error across all eleven cohorts from </w:t>
      </w:r>
      <w:r>
        <w:rPr>
          <w:b/>
          <w:bCs/>
          <w:i w:val="false"/>
          <w:iCs w:val="false"/>
        </w:rPr>
        <w:t xml:space="preserve">14.11% to 1.03%</w:t>
      </w:r>
      <w:r>
        <w:rPr>
          <w:i w:val="false"/>
          <w:iCs w:val="false"/>
        </w:rPr>
        <w:t xml:space="preserve">.</w:t>
      </w:r>
    </w:p>
    <w:p>
      <w:pPr>
        <w:spacing w:after="140" w:before="0" w:line="276"/>
      </w:pPr>
      <w:r>
        <w:rPr>
          <w:b/>
          <w:bCs/>
          <w:i w:val="false"/>
          <w:iCs w:val="false"/>
        </w:rPr>
        <w:t xml:space="preserve">The small one is Faire.</w:t>
      </w:r>
      <w:r>
        <w:rPr>
          <w:i w:val="false"/>
          <w:iCs w:val="false"/>
        </w:rPr>
        <w:t xml:space="preserve"> Faire wholesale orders are deliberately excluded from </w:t>
      </w:r>
      <w:r>
        <w:rPr>
          <w:rFonts w:ascii="Consolas" w:cs="Consolas" w:eastAsia="Consolas" w:hAnsi="Consolas"/>
          <w:i w:val="false"/>
          <w:iCs w:val="false"/>
          <w:sz w:val="17"/>
          <w:szCs w:val="17"/>
        </w:rPr>
        <w:t xml:space="preserve">OrderLinesMaster</w:t>
      </w:r>
      <w:r>
        <w:rPr>
          <w:i w:val="false"/>
          <w:iCs w:val="false"/>
        </w:rPr>
        <w:t xml:space="preserve"> by a channel filter, so neither the revenue nor the retailers reach our cohorts. The client counts them. Adding them removes the remaining OTP shortfall on the 2026 cohorts.</w:t>
      </w:r>
    </w:p>
    <w:p>
      <w:pPr>
        <w:spacing w:after="140" w:before="0" w:line="276"/>
      </w:pPr>
      <w:r>
        <w:rPr>
          <w:i w:val="false"/>
          <w:iCs w:val="false"/>
        </w:rPr>
        <w:t xml:space="preserve">Together: </w:t>
      </w:r>
      <w:r>
        <w:rPr>
          <w:b/>
          <w:bCs/>
          <w:i w:val="false"/>
          <w:iCs w:val="false"/>
        </w:rPr>
        <w:t xml:space="preserve">mean error 1.11%, worst cell 3.6%, no cell above 5%</w:t>
      </w:r>
      <w:r>
        <w:rPr>
          <w:i w:val="false"/>
          <w:iCs w:val="false"/>
        </w:rPr>
        <w:t xml:space="preserve"> across eleven cohorts and both buckets.</w:t>
      </w:r>
    </w:p>
    <w:p>
      <w:pPr>
        <w:spacing w:after="140" w:before="0" w:line="276"/>
      </w:pPr>
      <w:r>
        <w:rPr>
          <w:i w:val="false"/>
          <w:iCs w:val="false"/>
        </w:rPr>
        <w:t xml:space="preserve">Still open: roughly 115 customers across the non-July cohorts that we class as OTP and the client classes as Subscription (0.10% of base), and three cohorts where we hold slightly fewer customers than the client.</w:t>
      </w:r>
    </w:p>
    <w:p>
      <w:pPr>
        <w:pBdr>
          <w:bottom w:val="single" w:color="D4D4D8" w:sz="6" w:space="1"/>
        </w:pBdr>
        <w:spacing w:after="200" w:before="80"/>
      </w:pPr>
    </w:p>
    <w:p>
      <w:pPr>
        <w:pStyle w:val="Heading1"/>
        <w:spacing w:after="120" w:before="320"/>
      </w:pPr>
      <w:r>
        <w:rPr>
          <w:i w:val="false"/>
          <w:iCs w:val="false"/>
        </w:rPr>
        <w:t xml:space="preserve">2. The "Before" logic — what the dashboard does today</w:t>
      </w:r>
    </w:p>
    <w:p>
      <w:pPr>
        <w:spacing w:after="140" w:before="0" w:line="276"/>
      </w:pPr>
      <w:r>
        <w:rPr>
          <w:i w:val="false"/>
          <w:iCs w:val="false"/>
        </w:rPr>
        <w:t xml:space="preserve">Plain language: </w:t>
      </w:r>
      <w:r>
        <w:rPr>
          <w:b/>
          <w:bCs/>
          <w:i w:val="false"/>
          <w:iCs w:val="false"/>
        </w:rPr>
        <w:t xml:space="preserve">a customer is put in a bucket on the day they are acquired, and every dollar they ever spend is counted in that bucket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element</w:t>
            </w:r>
          </w:p>
        </w:tc>
        <w:tc>
          <w:tcPr>
            <w:tcW w:type="dxa" w:w="7200"/>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rule</w:t>
            </w:r>
          </w:p>
        </w:tc>
      </w:tr>
      <w:tr>
        <w:trPr>
          <w:tblHeader w:val="off"/>
        </w:trPr>
        <w:tc>
          <w:tcPr>
            <w:tcW w:type="dxa" w:w="216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scope</w:t>
            </w:r>
          </w:p>
        </w:tc>
        <w:tc>
          <w:tcPr>
            <w:tcW w:type="dxa" w:w="720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Shopify only; </w:t>
            </w:r>
            <w:r>
              <w:rPr>
                <w:rFonts w:ascii="Consolas" w:cs="Consolas" w:eastAsia="Consolas" w:hAnsi="Consolas"/>
                <w:i w:val="false"/>
                <w:iCs w:val="false"/>
                <w:sz w:val="17"/>
                <w:szCs w:val="17"/>
              </w:rPr>
              <w:t xml:space="preserve">customer_id</w:t>
            </w:r>
            <w:r>
              <w:rPr>
                <w:i w:val="false"/>
                <w:iCs w:val="false"/>
              </w:rPr>
              <w:t xml:space="preserve"> not null; </w:t>
            </w:r>
            <w:r>
              <w:rPr>
                <w:rFonts w:ascii="Consolas" w:cs="Consolas" w:eastAsia="Consolas" w:hAnsi="Consolas"/>
                <w:i w:val="false"/>
                <w:iCs w:val="false"/>
                <w:sz w:val="17"/>
                <w:szCs w:val="17"/>
              </w:rPr>
              <w:t xml:space="preserve">is_test = false</w:t>
            </w:r>
            <w:r>
              <w:rPr>
                <w:i w:val="false"/>
                <w:iCs w:val="false"/>
              </w:rPr>
              <w:t xml:space="preserve">; </w:t>
            </w:r>
            <w:r>
              <w:rPr>
                <w:rFonts w:ascii="Consolas" w:cs="Consolas" w:eastAsia="Consolas" w:hAnsi="Consolas"/>
                <w:i w:val="false"/>
                <w:iCs w:val="false"/>
                <w:sz w:val="17"/>
                <w:szCs w:val="17"/>
              </w:rPr>
              <w:t xml:space="preserve">is_gift_card = false</w:t>
            </w:r>
          </w:p>
        </w:tc>
      </w:tr>
      <w:tr>
        <w:trPr>
          <w:tblHeader w:val="off"/>
        </w:trPr>
        <w:tc>
          <w:tcPr>
            <w:tcW w:type="dxa" w:w="216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exclusions</w:t>
            </w:r>
          </w:p>
        </w:tc>
        <w:tc>
          <w:tcPr>
            <w:tcW w:type="dxa" w:w="720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customers whose founding-order </w:t>
            </w:r>
            <w:r>
              <w:rPr>
                <w:rFonts w:ascii="Consolas" w:cs="Consolas" w:eastAsia="Consolas" w:hAnsi="Consolas"/>
                <w:i w:val="false"/>
                <w:iCs w:val="false"/>
                <w:sz w:val="17"/>
                <w:szCs w:val="17"/>
              </w:rPr>
              <w:t xml:space="preserve">revenue_bucket = 'TT New'</w:t>
            </w:r>
            <w:r>
              <w:rPr>
                <w:i w:val="false"/>
                <w:iCs w:val="false"/>
              </w:rPr>
              <w:t xml:space="preserve"> (TikTok)</w:t>
            </w:r>
          </w:p>
        </w:tc>
      </w:tr>
      <w:tr>
        <w:trPr>
          <w:tblHeader w:val="off"/>
        </w:trPr>
        <w:tc>
          <w:tcPr>
            <w:tcW w:type="dxa" w:w="216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founding order</w:t>
            </w:r>
          </w:p>
        </w:tc>
        <w:tc>
          <w:tcPr>
            <w:tcW w:type="dxa" w:w="720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earliest by </w:t>
            </w:r>
            <w:r>
              <w:rPr>
                <w:rFonts w:ascii="Consolas" w:cs="Consolas" w:eastAsia="Consolas" w:hAnsi="Consolas"/>
                <w:i w:val="false"/>
                <w:iCs w:val="false"/>
                <w:sz w:val="17"/>
                <w:szCs w:val="17"/>
              </w:rPr>
              <w:t xml:space="preserve">(order_date, order_id)</w:t>
            </w:r>
          </w:p>
        </w:tc>
      </w:tr>
      <w:tr>
        <w:trPr>
          <w:tblHeader w:val="off"/>
        </w:trPr>
        <w:tc>
          <w:tcPr>
            <w:tcW w:type="dxa" w:w="216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acquisition bucket</w:t>
            </w:r>
          </w:p>
        </w:tc>
        <w:tc>
          <w:tcPr>
            <w:tcW w:type="dxa" w:w="720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b/>
                <w:bCs/>
                <w:i w:val="false"/>
                <w:iCs w:val="false"/>
              </w:rPr>
              <w:t xml:space="preserve">Subscription</w:t>
            </w:r>
            <w:r>
              <w:rPr>
                <w:i w:val="false"/>
                <w:iCs w:val="false"/>
              </w:rPr>
              <w:t xml:space="preserve"> if any order on the acquisition </w:t>
            </w:r>
            <w:r>
              <w:rPr>
                <w:i/>
                <w:iCs/>
              </w:rPr>
              <w:t xml:space="preserve">date</w:t>
            </w:r>
            <w:r>
              <w:rPr>
                <w:i w:val="false"/>
                <w:iCs w:val="false"/>
              </w:rPr>
              <w:t xml:space="preserve"> is a subscription order, else </w:t>
            </w:r>
            <w:r>
              <w:rPr>
                <w:b/>
                <w:bCs/>
                <w:i w:val="false"/>
                <w:iCs w:val="false"/>
              </w:rPr>
              <w:t xml:space="preserve">OTP</w:t>
            </w:r>
          </w:p>
        </w:tc>
      </w:tr>
      <w:tr>
        <w:trPr>
          <w:tblHeader w:val="off"/>
        </w:trPr>
        <w:tc>
          <w:tcPr>
            <w:tcW w:type="dxa" w:w="216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revenue per order</w:t>
            </w:r>
          </w:p>
        </w:tc>
        <w:tc>
          <w:tcPr>
            <w:tcW w:type="dxa" w:w="720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item_subtotal_price − item_discount + item_shipping_price − item_shipping_tax</w:t>
            </w:r>
          </w:p>
        </w:tc>
      </w:tr>
      <w:tr>
        <w:trPr>
          <w:tblHeader w:val="off"/>
        </w:trPr>
        <w:tc>
          <w:tcPr>
            <w:tcW w:type="dxa" w:w="216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returns</w:t>
            </w:r>
          </w:p>
        </w:tc>
        <w:tc>
          <w:tcPr>
            <w:tcW w:type="dxa" w:w="720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deducted</w:t>
            </w:r>
          </w:p>
        </w:tc>
      </w:tr>
      <w:tr>
        <w:trPr>
          <w:tblHeader w:val="off"/>
        </w:trPr>
        <w:tc>
          <w:tcPr>
            <w:tcW w:type="dxa" w:w="216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attribution</w:t>
            </w:r>
          </w:p>
        </w:tc>
        <w:tc>
          <w:tcPr>
            <w:tcW w:type="dxa" w:w="720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the acquisition bucket applies to every later order</w:t>
            </w:r>
          </w:p>
        </w:tc>
      </w:tr>
    </w:tbl>
    <w:p>
      <w:pPr>
        <w:spacing w:after="160"/>
      </w:pPr>
    </w:p>
    <w:p>
      <w:pPr>
        <w:spacing w:after="140" w:before="0" w:line="276"/>
      </w:pPr>
      <w:r>
        <w:rPr>
          <w:b/>
          <w:bCs/>
          <w:i w:val="false"/>
          <w:iCs w:val="false"/>
        </w:rPr>
        <w:t xml:space="preserve">Tables read:</w:t>
      </w:r>
      <w:r>
        <w:rPr>
          <w:i w:val="false"/>
          <w:iCs w:val="false"/>
        </w:rPr>
        <w:t xml:space="preserve"> </w:t>
      </w:r>
      <w:r>
        <w:rPr>
          <w:rFonts w:ascii="Consolas" w:cs="Consolas" w:eastAsia="Consolas" w:hAnsi="Consolas"/>
          <w:i w:val="false"/>
          <w:iCs w:val="false"/>
          <w:sz w:val="17"/>
          <w:szCs w:val="17"/>
        </w:rPr>
        <w:t xml:space="preserve">insightsprod.equipfoods_5642_prod_presentation.OrderLinesMaster</w:t>
      </w:r>
      <w:r>
        <w:rPr>
          <w:i w:val="false"/>
          <w:iCs w:val="false"/>
        </w:rPr>
        <w:t xml:space="preserve"> and </w:t>
      </w:r>
      <w:r>
        <w:rPr>
          <w:rFonts w:ascii="Consolas" w:cs="Consolas" w:eastAsia="Consolas" w:hAnsi="Consolas"/>
          <w:i w:val="false"/>
          <w:iCs w:val="false"/>
          <w:sz w:val="17"/>
          <w:szCs w:val="17"/>
        </w:rPr>
        <w:t xml:space="preserve">…ReturnLinesMaster</w:t>
      </w:r>
      <w:r>
        <w:rPr>
          <w:i w:val="false"/>
          <w:iCs w:val="false"/>
        </w:rPr>
        <w:t xml:space="preserve">.</w:t>
      </w:r>
    </w:p>
    <w:p>
      <w:pPr>
        <w:spacing w:after="140" w:before="0" w:line="276"/>
      </w:pPr>
      <w:r>
        <w:rPr>
          <w:b/>
          <w:bCs/>
          <w:i w:val="false"/>
          <w:iCs w:val="false"/>
        </w:rPr>
        <w:t xml:space="preserve">March 2026 under this logic:</w:t>
      </w:r>
      <w:r>
        <w:rPr>
          <w:i w:val="false"/>
          <w:iCs w:val="false"/>
        </w:rPr>
        <w:t xml:space="preserve"> 6,643 OTP + 4,577 Subscription = 11,220 customers. </w:t>
      </w:r>
      <w:r>
        <w:rPr>
          <w:i/>
          <w:iCs/>
        </w:rPr>
        <w:t xml:space="preserve">(The brief quotes 6,651 / 4,580 / 11,231. The 11-customer difference is the $0-founding-order rule, §5.3, which we applied to the Before side as well so the two tabs stay comparable. 0.1% — inside the 0.5% tolerance, but noted.)</w:t>
      </w:r>
    </w:p>
    <w:p>
      <w:pPr>
        <w:pBdr>
          <w:left w:val="single" w:color="A1A1AA" w:sz="12" w:space="8"/>
        </w:pBdr>
        <w:spacing w:after="160" w:before="60" w:line="264"/>
        <w:ind w:left="360"/>
      </w:pPr>
      <w:r>
        <w:rPr>
          <w:rFonts w:ascii="Consolas" w:cs="Consolas" w:eastAsia="Consolas" w:hAnsi="Consolas"/>
          <w:i w:val="false"/>
          <w:iCs w:val="false"/>
          <w:color w:val="52525B"/>
          <w:sz w:val="17"/>
          <w:szCs w:val="17"/>
        </w:rPr>
        <w:t xml:space="preserve">sql/02_before_logic.sql</w:t>
      </w:r>
      <w:r>
        <w:rPr>
          <w:i w:val="false"/>
          <w:iCs w:val="false"/>
          <w:color w:val="52525B"/>
          <w:sz w:val="19"/>
          <w:szCs w:val="19"/>
        </w:rPr>
        <w:t xml:space="preserve"> · 33 cohort/bucket pairs × month_index · March OTP: 6,643 customers, M0 $95.00 and M4 $148.16 per customer. Full values in §6.</w:t>
      </w:r>
    </w:p>
    <w:p>
      <w:pPr>
        <w:pBdr>
          <w:bottom w:val="single" w:color="D4D4D8" w:sz="6" w:space="1"/>
        </w:pBdr>
        <w:spacing w:after="200" w:before="80"/>
      </w:pPr>
    </w:p>
    <w:p>
      <w:pPr>
        <w:pStyle w:val="Heading1"/>
        <w:spacing w:after="120" w:before="320"/>
      </w:pPr>
      <w:r>
        <w:rPr>
          <w:i w:val="false"/>
          <w:iCs w:val="false"/>
        </w:rPr>
        <w:t xml:space="preserve">3. The baseline we build on — and a gap we never explained</w:t>
      </w:r>
    </w:p>
    <w:p>
      <w:pPr>
        <w:spacing w:after="140" w:before="0" w:line="276"/>
      </w:pPr>
      <w:r>
        <w:rPr>
          <w:i w:val="false"/>
          <w:iCs w:val="false"/>
        </w:rPr>
        <w:t xml:space="preserve">This cost us several rounds and is the single most likely thing to confuse someone re-running the work, so it goes before the changes.</w:t>
      </w:r>
    </w:p>
    <w:p>
      <w:pPr>
        <w:spacing w:after="140" w:before="0" w:line="276"/>
      </w:pPr>
      <w:r>
        <w:rPr>
          <w:i w:val="false"/>
          <w:iCs w:val="false"/>
        </w:rPr>
        <w:t xml:space="preserve">Two ways of building the same measure, and they do </w:t>
      </w:r>
      <w:r>
        <w:rPr>
          <w:b/>
          <w:bCs/>
          <w:i w:val="false"/>
          <w:iCs w:val="false"/>
        </w:rPr>
        <w:t xml:space="preserve">not</w:t>
      </w:r>
      <w:r>
        <w:rPr>
          <w:i w:val="false"/>
          <w:iCs w:val="false"/>
        </w:rPr>
        <w:t xml:space="preserve">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82"/>
        <w:gridCol w:w="5378"/>
      </w:tblGrid>
      <w:tr>
        <w:trPr>
          <w:tblHeader/>
        </w:trPr>
        <w:tc>
          <w:tcPr>
            <w:tcW w:type="dxa" w:w="3982"/>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built from</w:t>
            </w:r>
          </w:p>
        </w:tc>
        <w:tc>
          <w:tcPr>
            <w:tcW w:type="dxa" w:w="5378"/>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reproduces the published dashboard (March, worst cell)</w:t>
            </w:r>
          </w:p>
        </w:tc>
      </w:tr>
      <w:tr>
        <w:trPr>
          <w:tblHeader w:val="off"/>
        </w:trPr>
        <w:tc>
          <w:tcPr>
            <w:tcW w:type="dxa" w:w="3982"/>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LineItemMaster</w:t>
            </w:r>
          </w:p>
        </w:tc>
        <w:tc>
          <w:tcPr>
            <w:tcW w:type="dxa" w:w="5378"/>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b/>
                <w:bCs/>
                <w:i w:val="false"/>
                <w:iCs w:val="false"/>
              </w:rPr>
              <w:t xml:space="preserve">3.73% off</w:t>
            </w:r>
          </w:p>
        </w:tc>
      </w:tr>
      <w:tr>
        <w:trPr>
          <w:tblHeader w:val="off"/>
        </w:trPr>
        <w:tc>
          <w:tcPr>
            <w:tcW w:type="dxa" w:w="3982"/>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OrderLinesMaster</w:t>
            </w:r>
            <w:r>
              <w:rPr>
                <w:i w:val="false"/>
                <w:iCs w:val="false"/>
              </w:rPr>
              <w:t xml:space="preserve"> + </w:t>
            </w:r>
            <w:r>
              <w:rPr>
                <w:rFonts w:ascii="Consolas" w:cs="Consolas" w:eastAsia="Consolas" w:hAnsi="Consolas"/>
                <w:i w:val="false"/>
                <w:iCs w:val="false"/>
                <w:sz w:val="17"/>
                <w:szCs w:val="17"/>
              </w:rPr>
              <w:t xml:space="preserve">ReturnLinesMaster</w:t>
            </w:r>
          </w:p>
        </w:tc>
        <w:tc>
          <w:tcPr>
            <w:tcW w:type="dxa" w:w="5378"/>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b/>
                <w:bCs/>
                <w:i w:val="false"/>
                <w:iCs w:val="false"/>
              </w:rPr>
              <w:t xml:space="preserve">0.20% off</w:t>
            </w:r>
          </w:p>
        </w:tc>
      </w:tr>
    </w:tbl>
    <w:p>
      <w:pPr>
        <w:spacing w:after="160"/>
      </w:pPr>
    </w:p>
    <w:p>
      <w:pPr>
        <w:spacing w:after="140" w:before="0" w:line="276"/>
      </w:pPr>
      <w:r>
        <w:rPr>
          <w:i w:val="false"/>
          <w:iCs w:val="false"/>
        </w:rPr>
        <w:t xml:space="preserve">For most of the investigation we built on </w:t>
      </w:r>
      <w:r>
        <w:rPr>
          <w:rFonts w:ascii="Consolas" w:cs="Consolas" w:eastAsia="Consolas" w:hAnsi="Consolas"/>
          <w:i w:val="false"/>
          <w:iCs w:val="false"/>
          <w:sz w:val="17"/>
          <w:szCs w:val="17"/>
        </w:rPr>
        <w:t xml:space="preserve">LineItemMaster</w:t>
      </w:r>
      <w:r>
        <w:rPr>
          <w:i w:val="false"/>
          <w:iCs w:val="false"/>
        </w:rPr>
        <w:t xml:space="preserve"> and carried a </w:t>
      </w:r>
      <w:r>
        <w:rPr>
          <w:b/>
          <w:bCs/>
          <w:i w:val="false"/>
          <w:iCs w:val="false"/>
        </w:rPr>
        <w:t xml:space="preserve">1.2–3.7% residual</w:t>
      </w:r>
      <w:r>
        <w:rPr>
          <w:i w:val="false"/>
          <w:iCs w:val="false"/>
        </w:rPr>
        <w:t xml:space="preserve">, which I repeatedly told the team to accept as noise. It is not noise, and the </w:t>
      </w:r>
      <w:r>
        <w:rPr>
          <w:rFonts w:ascii="Consolas" w:cs="Consolas" w:eastAsia="Consolas" w:hAnsi="Consolas"/>
          <w:i w:val="false"/>
          <w:iCs w:val="false"/>
          <w:sz w:val="17"/>
          <w:szCs w:val="17"/>
        </w:rPr>
        <w:t xml:space="preserve">OrderLinesMaster</w:t>
      </w:r>
      <w:r>
        <w:rPr>
          <w:i w:val="false"/>
          <w:iCs w:val="false"/>
        </w:rPr>
        <w:t xml:space="preserve"> build is clearly the better baseline.</w:t>
      </w:r>
    </w:p>
    <w:p>
      <w:pPr>
        <w:spacing w:after="140" w:before="0" w:line="276"/>
      </w:pPr>
      <w:r>
        <w:rPr>
          <w:b/>
          <w:bCs/>
          <w:i w:val="false"/>
          <w:iCs w:val="false"/>
        </w:rPr>
        <w:t xml:space="preserve">But we never established </w:t>
      </w:r>
      <w:r>
        <w:rPr>
          <w:b/>
          <w:bCs/>
          <w:i/>
          <w:iCs/>
        </w:rPr>
        <w:t xml:space="preserve">why</w:t>
      </w:r>
      <w:r>
        <w:rPr>
          <w:b/>
          <w:bCs/>
          <w:i w:val="false"/>
          <w:iCs w:val="false"/>
        </w:rPr>
        <w:t xml:space="preserve">, and it is not safe to call this a property of the tables.</w:t>
      </w:r>
      <w:r>
        <w:rPr>
          <w:i w:val="false"/>
          <w:iCs w:val="false"/>
        </w:rPr>
        <w:t xml:space="preserve"> The two sets of runs differ in three ways at once, so the gap cannot be attributed to the table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94"/>
        <w:gridCol w:w="4082"/>
        <w:gridCol w:w="4084"/>
      </w:tblGrid>
      <w:tr>
        <w:trPr>
          <w:tblHeader/>
        </w:trPr>
        <w:tc>
          <w:tcPr>
            <w:tcW w:type="dxa" w:w="1194"/>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rPr>
              <w:t xml:space="preserve"/>
            </w:r>
          </w:p>
        </w:tc>
        <w:tc>
          <w:tcPr>
            <w:tcW w:type="dxa" w:w="4082"/>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the </w:t>
            </w:r>
            <w:r>
              <w:rPr>
                <w:rFonts w:ascii="Consolas" w:cs="Consolas" w:eastAsia="Consolas" w:hAnsi="Consolas"/>
                <w:b/>
                <w:bCs/>
                <w:i w:val="false"/>
                <w:iCs w:val="false"/>
                <w:sz w:val="17"/>
                <w:szCs w:val="17"/>
              </w:rPr>
              <w:t xml:space="preserve">LineItemMaster</w:t>
            </w:r>
            <w:r>
              <w:rPr>
                <w:b/>
                <w:bCs/>
                <w:i w:val="false"/>
                <w:iCs w:val="false"/>
              </w:rPr>
              <w:t xml:space="preserve"> runs</w:t>
            </w:r>
          </w:p>
        </w:tc>
        <w:tc>
          <w:tcPr>
            <w:tcW w:type="dxa" w:w="4084"/>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the </w:t>
            </w:r>
            <w:r>
              <w:rPr>
                <w:rFonts w:ascii="Consolas" w:cs="Consolas" w:eastAsia="Consolas" w:hAnsi="Consolas"/>
                <w:b/>
                <w:bCs/>
                <w:i w:val="false"/>
                <w:iCs w:val="false"/>
                <w:sz w:val="17"/>
                <w:szCs w:val="17"/>
              </w:rPr>
              <w:t xml:space="preserve">OrderLinesMaster</w:t>
            </w:r>
            <w:r>
              <w:rPr>
                <w:b/>
                <w:bCs/>
                <w:i w:val="false"/>
                <w:iCs w:val="false"/>
              </w:rPr>
              <w:t xml:space="preserve"> runs</w:t>
            </w:r>
          </w:p>
        </w:tc>
      </w:tr>
      <w:tr>
        <w:trPr>
          <w:tblHeader w:val="off"/>
        </w:trPr>
        <w:tc>
          <w:tcPr>
            <w:tcW w:type="dxa" w:w="119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revenue term</w:t>
            </w:r>
          </w:p>
        </w:tc>
        <w:tc>
          <w:tcPr>
            <w:tcW w:type="dxa" w:w="4082"/>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item_gross_sales − item_discounts</w:t>
            </w:r>
          </w:p>
        </w:tc>
        <w:tc>
          <w:tcPr>
            <w:tcW w:type="dxa" w:w="408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item_subtotal_price − item_discount</w:t>
            </w:r>
          </w:p>
        </w:tc>
      </w:tr>
      <w:tr>
        <w:trPr>
          <w:tblHeader w:val="off"/>
        </w:trPr>
        <w:tc>
          <w:tcPr>
            <w:tcW w:type="dxa" w:w="119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returns</w:t>
            </w:r>
          </w:p>
        </w:tc>
        <w:tc>
          <w:tcPr>
            <w:tcW w:type="dxa" w:w="4082"/>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item_returns</w:t>
            </w:r>
            <w:r>
              <w:rPr>
                <w:i w:val="false"/>
                <w:iCs w:val="false"/>
              </w:rPr>
              <w:t xml:space="preserve">, a column on the order row</w:t>
            </w:r>
          </w:p>
        </w:tc>
        <w:tc>
          <w:tcPr>
            <w:tcW w:type="dxa" w:w="408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rows in </w:t>
            </w:r>
            <w:r>
              <w:rPr>
                <w:rFonts w:ascii="Consolas" w:cs="Consolas" w:eastAsia="Consolas" w:hAnsi="Consolas"/>
                <w:i w:val="false"/>
                <w:iCs w:val="false"/>
                <w:sz w:val="17"/>
                <w:szCs w:val="17"/>
              </w:rPr>
              <w:t xml:space="preserve">ReturnLinesMaster</w:t>
            </w:r>
          </w:p>
        </w:tc>
      </w:tr>
      <w:tr>
        <w:trPr>
          <w:tblHeader w:val="off"/>
        </w:trPr>
        <w:tc>
          <w:tcPr>
            <w:tcW w:type="dxa" w:w="119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exclusions</w:t>
            </w:r>
          </w:p>
        </w:tc>
        <w:tc>
          <w:tcPr>
            <w:tcW w:type="dxa" w:w="4082"/>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none applied</w:t>
            </w:r>
          </w:p>
        </w:tc>
        <w:tc>
          <w:tcPr>
            <w:tcW w:type="dxa" w:w="408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is_test = false</w:t>
            </w:r>
            <w:r>
              <w:rPr>
                <w:i w:val="false"/>
                <w:iCs w:val="false"/>
              </w:rPr>
              <w:t xml:space="preserve">, </w:t>
            </w:r>
            <w:r>
              <w:rPr>
                <w:rFonts w:ascii="Consolas" w:cs="Consolas" w:eastAsia="Consolas" w:hAnsi="Consolas"/>
                <w:i w:val="false"/>
                <w:iCs w:val="false"/>
                <w:sz w:val="17"/>
                <w:szCs w:val="17"/>
              </w:rPr>
              <w:t xml:space="preserve">is_gift_card = false</w:t>
            </w:r>
          </w:p>
        </w:tc>
      </w:tr>
    </w:tbl>
    <w:p>
      <w:pPr>
        <w:spacing w:after="160"/>
      </w:pPr>
    </w:p>
    <w:p>
      <w:pPr>
        <w:spacing w:after="140" w:before="0" w:line="276"/>
      </w:pPr>
      <w:r>
        <w:rPr>
          <w:i w:val="false"/>
          <w:iCs w:val="false"/>
        </w:rPr>
        <w:t xml:space="preserve">Any of the three could produce a 1–4% offset, and we isolated none of them.</w:t>
      </w:r>
    </w:p>
    <w:p>
      <w:pPr>
        <w:spacing w:after="140" w:before="0" w:line="276"/>
      </w:pPr>
      <w:r>
        <w:rPr>
          <w:b/>
          <w:bCs/>
          <w:i w:val="false"/>
          <w:iCs w:val="false"/>
        </w:rPr>
        <w:t xml:space="preserve">The returns difference is the better suspect, and not the exclusions.</w:t>
      </w:r>
      <w:r>
        <w:rPr>
          <w:i w:val="false"/>
          <w:iCs w:val="false"/>
        </w:rPr>
        <w:t xml:space="preserve"> A return carried as a column on the order row dates to the </w:t>
      </w:r>
      <w:r>
        <w:rPr>
          <w:i/>
          <w:iCs/>
        </w:rPr>
        <w:t xml:space="preserve">order's</w:t>
      </w:r>
      <w:r>
        <w:rPr>
          <w:i w:val="false"/>
          <w:iCs w:val="false"/>
        </w:rPr>
        <w:t xml:space="preserve"> month; a </w:t>
      </w:r>
      <w:r>
        <w:rPr>
          <w:rFonts w:ascii="Consolas" w:cs="Consolas" w:eastAsia="Consolas" w:hAnsi="Consolas"/>
          <w:i w:val="false"/>
          <w:iCs w:val="false"/>
          <w:sz w:val="17"/>
          <w:szCs w:val="17"/>
        </w:rPr>
        <w:t xml:space="preserve">ReturnLinesMaster</w:t>
      </w:r>
      <w:r>
        <w:rPr>
          <w:i w:val="false"/>
          <w:iCs w:val="false"/>
        </w:rPr>
        <w:t xml:space="preserve"> row dates to the </w:t>
      </w:r>
      <w:r>
        <w:rPr>
          <w:i/>
          <w:iCs/>
        </w:rPr>
        <w:t xml:space="preserve">return's</w:t>
      </w:r>
      <w:r>
        <w:rPr>
          <w:i w:val="false"/>
          <w:iCs w:val="false"/>
        </w:rPr>
        <w:t xml:space="preserve"> month. That shifts revenue between month indices rather than changing the total — which fits the error we saw, smallest at M0 (+1.17%) and growing to 3.73% further out. A flat </w:t>
      </w:r>
      <w:r>
        <w:rPr>
          <w:rFonts w:ascii="Consolas" w:cs="Consolas" w:eastAsia="Consolas" w:hAnsi="Consolas"/>
          <w:i w:val="false"/>
          <w:iCs w:val="false"/>
          <w:sz w:val="17"/>
          <w:szCs w:val="17"/>
        </w:rPr>
        <w:t xml:space="preserve">is_test</w:t>
      </w:r>
      <w:r>
        <w:rPr>
          <w:i w:val="false"/>
          <w:iCs w:val="false"/>
        </w:rPr>
        <w:t xml:space="preserve"> / </w:t>
      </w:r>
      <w:r>
        <w:rPr>
          <w:rFonts w:ascii="Consolas" w:cs="Consolas" w:eastAsia="Consolas" w:hAnsi="Consolas"/>
          <w:i w:val="false"/>
          <w:iCs w:val="false"/>
          <w:sz w:val="17"/>
          <w:szCs w:val="17"/>
        </w:rPr>
        <w:t xml:space="preserve">is_gift_card</w:t>
      </w:r>
      <w:r>
        <w:rPr>
          <w:i w:val="false"/>
          <w:iCs w:val="false"/>
        </w:rPr>
        <w:t xml:space="preserve"> exclusion would remove a roughly constant slice at every month index, so it does not fit a drift. This is reasoning from the shape of the error, not a measurement: treat it as the first thing to test, not as the answer.</w:t>
      </w:r>
    </w:p>
    <w:p>
      <w:pPr>
        <w:pBdr>
          <w:left w:val="single" w:color="A1A1AA" w:sz="12" w:space="8"/>
        </w:pBdr>
        <w:spacing w:after="160" w:before="60" w:line="264"/>
        <w:ind w:left="360"/>
      </w:pPr>
      <w:r>
        <w:rPr>
          <w:b/>
          <w:bCs/>
          <w:i w:val="false"/>
          <w:iCs w:val="false"/>
          <w:color w:val="52525B"/>
          <w:sz w:val="19"/>
          <w:szCs w:val="19"/>
        </w:rPr>
        <w:t xml:space="preserve">Correction.</w:t>
      </w:r>
      <w:r>
        <w:rPr>
          <w:i w:val="false"/>
          <w:iCs w:val="false"/>
          <w:color w:val="52525B"/>
          <w:sz w:val="19"/>
          <w:szCs w:val="19"/>
        </w:rPr>
        <w:t xml:space="preserve"> An earlier version of this document said </w:t>
      </w:r>
      <w:r>
        <w:rPr>
          <w:rFonts w:ascii="Consolas" w:cs="Consolas" w:eastAsia="Consolas" w:hAnsi="Consolas"/>
          <w:i w:val="false"/>
          <w:iCs w:val="false"/>
          <w:color w:val="52525B"/>
          <w:sz w:val="17"/>
          <w:szCs w:val="17"/>
        </w:rPr>
        <w:t xml:space="preserve">OrderLinesMaster</w:t>
      </w:r>
      <w:r>
        <w:rPr>
          <w:i w:val="false"/>
          <w:iCs w:val="false"/>
          <w:color w:val="52525B"/>
          <w:sz w:val="19"/>
          <w:szCs w:val="19"/>
        </w:rPr>
        <w:t xml:space="preserve"> applies </w:t>
      </w:r>
      <w:r>
        <w:rPr>
          <w:rFonts w:ascii="Consolas" w:cs="Consolas" w:eastAsia="Consolas" w:hAnsi="Consolas"/>
          <w:i w:val="false"/>
          <w:iCs w:val="false"/>
          <w:color w:val="52525B"/>
          <w:sz w:val="17"/>
          <w:szCs w:val="17"/>
        </w:rPr>
        <w:t xml:space="preserve">is_test</w:t>
      </w:r>
      <w:r>
        <w:rPr>
          <w:i w:val="false"/>
          <w:iCs w:val="false"/>
          <w:color w:val="52525B"/>
          <w:sz w:val="19"/>
          <w:szCs w:val="19"/>
        </w:rPr>
        <w:t xml:space="preserve"> and </w:t>
      </w:r>
      <w:r>
        <w:rPr>
          <w:rFonts w:ascii="Consolas" w:cs="Consolas" w:eastAsia="Consolas" w:hAnsi="Consolas"/>
          <w:i w:val="false"/>
          <w:iCs w:val="false"/>
          <w:color w:val="52525B"/>
          <w:sz w:val="17"/>
          <w:szCs w:val="17"/>
        </w:rPr>
        <w:t xml:space="preserve">is_gift_card</w:t>
      </w:r>
      <w:r>
        <w:rPr>
          <w:i w:val="false"/>
          <w:iCs w:val="false"/>
          <w:color w:val="52525B"/>
          <w:sz w:val="19"/>
          <w:szCs w:val="19"/>
        </w:rPr>
        <w:t xml:space="preserve"> exclusions that </w:t>
      </w:r>
      <w:r>
        <w:rPr>
          <w:rFonts w:ascii="Consolas" w:cs="Consolas" w:eastAsia="Consolas" w:hAnsi="Consolas"/>
          <w:i w:val="false"/>
          <w:iCs w:val="false"/>
          <w:color w:val="52525B"/>
          <w:sz w:val="17"/>
          <w:szCs w:val="17"/>
        </w:rPr>
        <w:t xml:space="preserve">LineItemMaster</w:t>
      </w:r>
      <w:r>
        <w:rPr>
          <w:i w:val="false"/>
          <w:iCs w:val="false"/>
          <w:color w:val="52525B"/>
          <w:sz w:val="19"/>
          <w:szCs w:val="19"/>
        </w:rPr>
        <w:t xml:space="preserve"> "does not surface the same way, and those account for most of the difference." That was an inference I inserted to make a measured gap feel explained. It is not supported: I never read either model's SQL, and our own </w:t>
      </w:r>
      <w:r>
        <w:rPr>
          <w:rFonts w:ascii="Consolas" w:cs="Consolas" w:eastAsia="Consolas" w:hAnsi="Consolas"/>
          <w:i w:val="false"/>
          <w:iCs w:val="false"/>
          <w:color w:val="52525B"/>
          <w:sz w:val="17"/>
          <w:szCs w:val="17"/>
        </w:rPr>
        <w:t xml:space="preserve">LineItemMaster</w:t>
      </w:r>
      <w:r>
        <w:rPr>
          <w:i w:val="false"/>
          <w:iCs w:val="false"/>
          <w:color w:val="52525B"/>
          <w:sz w:val="19"/>
          <w:szCs w:val="19"/>
        </w:rPr>
        <w:t xml:space="preserve"> queries simply never applied those filters — which says what we did, not what the table offers.</w:t>
      </w:r>
    </w:p>
    <w:p>
      <w:pPr>
        <w:spacing w:after="140" w:before="0" w:line="276"/>
      </w:pPr>
      <w:r>
        <w:rPr>
          <w:b/>
          <w:bCs/>
          <w:i w:val="false"/>
          <w:iCs w:val="false"/>
        </w:rPr>
        <w:t xml:space="preserve">A second finding fell out of the same comparison, and this one is measured: the published dashboard is already net of returns.</w:t>
      </w:r>
    </w:p>
    <w:p>
      <w:pPr>
        <w:shd w:fill="F4F4F5" w:val="clear"/>
        <w:spacing w:after="0" w:before="0" w:line="240"/>
      </w:pPr>
      <w:r>
        <w:rPr>
          <w:rFonts w:ascii="Consolas" w:cs="Consolas" w:eastAsia="Consolas" w:hAnsi="Consolas"/>
          <w:sz w:val="16"/>
          <w:szCs w:val="16"/>
        </w:rPr>
        <w:t xml:space="preserve">published March M0 total            1,093,954</w:t>
      </w:r>
    </w:p>
    <w:p>
      <w:pPr>
        <w:shd w:fill="F4F4F5" w:val="clear"/>
        <w:spacing w:after="0" w:before="0" w:line="240"/>
      </w:pPr>
      <w:r>
        <w:rPr>
          <w:rFonts w:ascii="Consolas" w:cs="Consolas" w:eastAsia="Consolas" w:hAnsi="Consolas"/>
          <w:sz w:val="16"/>
          <w:szCs w:val="16"/>
        </w:rPr>
        <w:t xml:space="preserve">ours, net of returns                1,093,509    −0.04%</w:t>
      </w:r>
    </w:p>
    <w:p>
      <w:pPr>
        <w:shd w:fill="F4F4F5" w:val="clear"/>
        <w:spacing w:after="0" w:before="0" w:line="240"/>
      </w:pPr>
      <w:r>
        <w:rPr>
          <w:rFonts w:ascii="Consolas" w:cs="Consolas" w:eastAsia="Consolas" w:hAnsi="Consolas"/>
          <w:sz w:val="16"/>
          <w:szCs w:val="16"/>
        </w:rPr>
        <w:t xml:space="preserve">ours, orders only                   1,109,523    +1.42%</w:t>
      </w:r>
    </w:p>
    <w:p>
      <w:pPr>
        <w:spacing w:after="120"/>
      </w:pPr>
    </w:p>
    <w:p>
      <w:pPr>
        <w:spacing w:after="140" w:before="0" w:line="276"/>
      </w:pPr>
      <w:r>
        <w:rPr>
          <w:i w:val="false"/>
          <w:iCs w:val="false"/>
        </w:rPr>
        <w:t xml:space="preserve">Our early "orders only" runs were the deviation, not the baseline. Returns were never optional.</w:t>
      </w:r>
    </w:p>
    <w:p>
      <w:pPr>
        <w:spacing w:after="140" w:before="0" w:line="276"/>
      </w:pPr>
      <w:r>
        <w:rPr>
          <w:b/>
          <w:bCs/>
          <w:i w:val="false"/>
          <w:iCs w:val="false"/>
        </w:rPr>
        <w:t xml:space="preserve">Both the Before and After numbers in this document use </w:t>
      </w:r>
      <w:r>
        <w:rPr>
          <w:rFonts w:ascii="Consolas" w:cs="Consolas" w:eastAsia="Consolas" w:hAnsi="Consolas"/>
          <w:b/>
          <w:bCs/>
          <w:i w:val="false"/>
          <w:iCs w:val="false"/>
          <w:sz w:val="17"/>
          <w:szCs w:val="17"/>
        </w:rPr>
        <w:t xml:space="preserve">OrderLinesMaster + ReturnLinesMaster</w:t>
      </w:r>
      <w:r>
        <w:rPr>
          <w:b/>
          <w:bCs/>
          <w:i w:val="false"/>
          <w:iCs w:val="false"/>
        </w:rPr>
        <w:t xml:space="preserve">, net of returns.</w:t>
      </w:r>
      <w:r>
        <w:rPr>
          <w:i w:val="false"/>
          <w:iCs w:val="false"/>
        </w:rPr>
        <w:t xml:space="preserve"> If the After logic is implemented, it should use the same.</w:t>
      </w:r>
    </w:p>
    <w:p>
      <w:pPr>
        <w:pBdr>
          <w:left w:val="single" w:color="A1A1AA" w:sz="12" w:space="8"/>
        </w:pBdr>
        <w:spacing w:after="160" w:before="60" w:line="264"/>
        <w:ind w:left="360"/>
      </w:pPr>
      <w:r>
        <w:rPr>
          <w:i/>
          <w:iCs/>
          <w:color w:val="52525B"/>
          <w:sz w:val="19"/>
          <w:szCs w:val="19"/>
        </w:rPr>
        <w:t xml:space="preserve">Not verified:</w:t>
      </w:r>
      <w:r>
        <w:rPr>
          <w:i w:val="false"/>
          <w:iCs w:val="false"/>
          <w:color w:val="52525B"/>
          <w:sz w:val="19"/>
          <w:szCs w:val="19"/>
        </w:rPr>
        <w:t xml:space="preserve"> we never read either model's SQL, nor built the line-by-line bridge the brief asks for. To close this properly, rebuild the same measure from </w:t>
      </w:r>
      <w:r>
        <w:rPr>
          <w:rFonts w:ascii="Consolas" w:cs="Consolas" w:eastAsia="Consolas" w:hAnsi="Consolas"/>
          <w:i w:val="false"/>
          <w:iCs w:val="false"/>
          <w:color w:val="52525B"/>
          <w:sz w:val="17"/>
          <w:szCs w:val="17"/>
        </w:rPr>
        <w:t xml:space="preserve">LineItemMaster</w:t>
      </w:r>
      <w:r>
        <w:rPr>
          <w:i w:val="false"/>
          <w:iCs w:val="false"/>
          <w:color w:val="52525B"/>
          <w:sz w:val="19"/>
          <w:szCs w:val="19"/>
        </w:rPr>
        <w:t xml:space="preserve"> changing </w:t>
      </w:r>
      <w:r>
        <w:rPr>
          <w:b/>
          <w:bCs/>
          <w:i w:val="false"/>
          <w:iCs w:val="false"/>
          <w:color w:val="52525B"/>
          <w:sz w:val="19"/>
          <w:szCs w:val="19"/>
        </w:rPr>
        <w:t xml:space="preserve">one</w:t>
      </w:r>
      <w:r>
        <w:rPr>
          <w:i w:val="false"/>
          <w:iCs w:val="false"/>
          <w:color w:val="52525B"/>
          <w:sz w:val="19"/>
          <w:szCs w:val="19"/>
        </w:rPr>
        <w:t xml:space="preserve"> thing at a time — first add the </w:t>
      </w:r>
      <w:r>
        <w:rPr>
          <w:rFonts w:ascii="Consolas" w:cs="Consolas" w:eastAsia="Consolas" w:hAnsi="Consolas"/>
          <w:i w:val="false"/>
          <w:iCs w:val="false"/>
          <w:color w:val="52525B"/>
          <w:sz w:val="17"/>
          <w:szCs w:val="17"/>
        </w:rPr>
        <w:t xml:space="preserve">is_test</w:t>
      </w:r>
      <w:r>
        <w:rPr>
          <w:i w:val="false"/>
          <w:iCs w:val="false"/>
          <w:color w:val="52525B"/>
          <w:sz w:val="19"/>
          <w:szCs w:val="19"/>
        </w:rPr>
        <w:t xml:space="preserve"> and </w:t>
      </w:r>
      <w:r>
        <w:rPr>
          <w:rFonts w:ascii="Consolas" w:cs="Consolas" w:eastAsia="Consolas" w:hAnsi="Consolas"/>
          <w:i w:val="false"/>
          <w:iCs w:val="false"/>
          <w:color w:val="52525B"/>
          <w:sz w:val="17"/>
          <w:szCs w:val="17"/>
        </w:rPr>
        <w:t xml:space="preserve">is_gift_card</w:t>
      </w:r>
      <w:r>
        <w:rPr>
          <w:i w:val="false"/>
          <w:iCs w:val="false"/>
          <w:color w:val="52525B"/>
          <w:sz w:val="19"/>
          <w:szCs w:val="19"/>
        </w:rPr>
        <w:t xml:space="preserve"> filters, then swap the returns source — and see which step moves the number. </w:t>
      </w:r>
      <w:r>
        <w:rPr>
          <w:rFonts w:ascii="Consolas" w:cs="Consolas" w:eastAsia="Consolas" w:hAnsi="Consolas"/>
          <w:i w:val="false"/>
          <w:iCs w:val="false"/>
          <w:color w:val="52525B"/>
          <w:sz w:val="17"/>
          <w:szCs w:val="17"/>
        </w:rPr>
        <w:t xml:space="preserve">sql/03_source_table_check.sql</w:t>
      </w:r>
      <w:r>
        <w:rPr>
          <w:i w:val="false"/>
          <w:iCs w:val="false"/>
          <w:color w:val="52525B"/>
          <w:sz w:val="19"/>
          <w:szCs w:val="19"/>
        </w:rPr>
        <w:t xml:space="preserve"> is the starting point, not that experiment. See §11.</w:t>
      </w:r>
    </w:p>
    <w:p>
      <w:pPr>
        <w:pBdr>
          <w:bottom w:val="single" w:color="D4D4D8" w:sz="6" w:space="1"/>
        </w:pBdr>
        <w:spacing w:after="200" w:before="80"/>
      </w:pPr>
    </w:p>
    <w:p>
      <w:pPr>
        <w:pStyle w:val="Heading1"/>
        <w:spacing w:after="120" w:before="320"/>
      </w:pPr>
      <w:r>
        <w:rPr>
          <w:i w:val="false"/>
          <w:iCs w:val="false"/>
        </w:rPr>
        <w:t xml:space="preserve">4.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
        <w:gridCol w:w="1065"/>
        <w:gridCol w:w="932"/>
        <w:gridCol w:w="1998"/>
        <w:gridCol w:w="1998"/>
        <w:gridCol w:w="1865"/>
        <w:gridCol w:w="1303"/>
      </w:tblGrid>
      <w:tr>
        <w:trPr>
          <w:tblHeader/>
        </w:trPr>
        <w:tc>
          <w:tcPr>
            <w:tcW w:type="dxa" w:w="199"/>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w:t>
            </w:r>
          </w:p>
        </w:tc>
        <w:tc>
          <w:tcPr>
            <w:tcW w:type="dxa" w:w="1065"/>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Change</w:t>
            </w:r>
          </w:p>
        </w:tc>
        <w:tc>
          <w:tcPr>
            <w:tcW w:type="dxa" w:w="932"/>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Before</w:t>
            </w:r>
          </w:p>
        </w:tc>
        <w:tc>
          <w:tcPr>
            <w:tcW w:type="dxa" w:w="1998"/>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After</w:t>
            </w:r>
          </w:p>
        </w:tc>
        <w:tc>
          <w:tcPr>
            <w:tcW w:type="dxa" w:w="1998"/>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Why</w:t>
            </w:r>
          </w:p>
        </w:tc>
        <w:tc>
          <w:tcPr>
            <w:tcW w:type="dxa" w:w="1865"/>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Evidence</w:t>
            </w:r>
          </w:p>
        </w:tc>
        <w:tc>
          <w:tcPr>
            <w:tcW w:type="dxa" w:w="1303"/>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March M4 impact (per customer)</w:t>
            </w:r>
          </w:p>
        </w:tc>
      </w:tr>
      <w:tr>
        <w:trPr>
          <w:tblHeader w:val="off"/>
        </w:trPr>
        <w:tc>
          <w:tcPr>
            <w:tcW w:type="dxa" w:w="19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w:t>
            </w:r>
          </w:p>
        </w:tc>
        <w:tc>
          <w:tcPr>
            <w:tcW w:type="dxa" w:w="1065"/>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b/>
                <w:bCs/>
                <w:i w:val="false"/>
                <w:iCs w:val="false"/>
              </w:rPr>
              <w:t xml:space="preserve">Post-acquisition attribution</w:t>
            </w:r>
          </w:p>
        </w:tc>
        <w:tc>
          <w:tcPr>
            <w:tcW w:type="dxa" w:w="932"/>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acquisition bucket for life</w:t>
            </w:r>
          </w:p>
        </w:tc>
        <w:tc>
          <w:tcPr>
            <w:tcW w:type="dxa" w:w="1998"/>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from M1, an order is Subscription if the customer was acquired on Subscription, or the order is a subscription type, or it is on/after their first subscription order</w:t>
            </w:r>
          </w:p>
        </w:tc>
        <w:tc>
          <w:tcPr>
            <w:tcW w:type="dxa" w:w="1998"/>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we attribute by </w:t>
            </w:r>
            <w:r>
              <w:rPr>
                <w:i/>
                <w:iCs/>
              </w:rPr>
              <w:t xml:space="preserve">who the customer was</w:t>
            </w:r>
            <w:r>
              <w:rPr>
                <w:i w:val="false"/>
                <w:iCs w:val="false"/>
              </w:rPr>
              <w:t xml:space="preserve">; the client attributes by </w:t>
            </w:r>
            <w:r>
              <w:rPr>
                <w:i/>
                <w:iCs/>
              </w:rPr>
              <w:t xml:space="preserve">what is happening now</w:t>
            </w:r>
          </w:p>
        </w:tc>
        <w:tc>
          <w:tcPr>
            <w:tcW w:type="dxa" w:w="1865"/>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mean error 14.11% → 1.03% across all 11 cohorts</w:t>
            </w:r>
          </w:p>
        </w:tc>
        <w:tc>
          <w:tcPr>
            <w:tcW w:type="dxa" w:w="130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OTP +13.4% → −6.5% · Sub −15.1% → −0.5%</w:t>
            </w:r>
          </w:p>
        </w:tc>
      </w:tr>
      <w:tr>
        <w:trPr>
          <w:tblHeader w:val="off"/>
        </w:trPr>
        <w:tc>
          <w:tcPr>
            <w:tcW w:type="dxa" w:w="19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w:t>
            </w:r>
          </w:p>
        </w:tc>
        <w:tc>
          <w:tcPr>
            <w:tcW w:type="dxa" w:w="1065"/>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b/>
                <w:bCs/>
                <w:i w:val="false"/>
                <w:iCs w:val="false"/>
              </w:rPr>
              <w:t xml:space="preserve">Faire wholesale</w:t>
            </w:r>
          </w:p>
        </w:tc>
        <w:tc>
          <w:tcPr>
            <w:tcW w:type="dxa" w:w="932"/>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excluded by a channel filter</w:t>
            </w:r>
          </w:p>
        </w:tc>
        <w:tc>
          <w:tcPr>
            <w:tcW w:type="dxa" w:w="1998"/>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Faire retailers and their revenue added as OTP</w:t>
            </w:r>
          </w:p>
        </w:tc>
        <w:tc>
          <w:tcPr>
            <w:tcW w:type="dxa" w:w="1998"/>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the client counts them; the exclusion is a deliberate wholesale policy that predates nobody checking its effect on cohorts</w:t>
            </w:r>
          </w:p>
        </w:tc>
        <w:tc>
          <w:tcPr>
            <w:tcW w:type="dxa" w:w="1865"/>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649 orders, 293 customers, none reach </w:t>
            </w:r>
            <w:r>
              <w:rPr>
                <w:rFonts w:ascii="Consolas" w:cs="Consolas" w:eastAsia="Consolas" w:hAnsi="Consolas"/>
                <w:i w:val="false"/>
                <w:iCs w:val="false"/>
                <w:sz w:val="17"/>
                <w:szCs w:val="17"/>
              </w:rPr>
              <w:t xml:space="preserve">OrderLinesMaster</w:t>
            </w:r>
          </w:p>
        </w:tc>
        <w:tc>
          <w:tcPr>
            <w:tcW w:type="dxa" w:w="130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OTP −6.5% → −1.5% · Sub unchanged</w:t>
            </w:r>
          </w:p>
        </w:tc>
      </w:tr>
      <w:tr>
        <w:trPr>
          <w:tblHeader w:val="off"/>
        </w:trPr>
        <w:tc>
          <w:tcPr>
            <w:tcW w:type="dxa" w:w="19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3</w:t>
            </w:r>
          </w:p>
        </w:tc>
        <w:tc>
          <w:tcPr>
            <w:tcW w:type="dxa" w:w="1065"/>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b/>
                <w:bCs/>
                <w:i w:val="false"/>
                <w:iCs w:val="false"/>
              </w:rPr>
              <w:t xml:space="preserve">$0 founding orders</w:t>
            </w:r>
          </w:p>
        </w:tc>
        <w:tc>
          <w:tcPr>
            <w:tcW w:type="dxa" w:w="932"/>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counted as acquisitions</w:t>
            </w:r>
          </w:p>
        </w:tc>
        <w:tc>
          <w:tcPr>
            <w:tcW w:type="dxa" w:w="1998"/>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customers whose founding order has raw </w:t>
            </w:r>
            <w:r>
              <w:rPr>
                <w:rFonts w:ascii="Consolas" w:cs="Consolas" w:eastAsia="Consolas" w:hAnsi="Consolas"/>
                <w:i w:val="false"/>
                <w:iCs w:val="false"/>
                <w:sz w:val="17"/>
                <w:szCs w:val="17"/>
              </w:rPr>
              <w:t xml:space="preserve">total_price = 0</w:t>
            </w:r>
            <w:r>
              <w:rPr>
                <w:i w:val="false"/>
                <w:iCs w:val="false"/>
              </w:rPr>
              <w:t xml:space="preserve"> excluded</w:t>
            </w:r>
          </w:p>
        </w:tc>
        <w:tc>
          <w:tcPr>
            <w:tcW w:type="dxa" w:w="1998"/>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a one-day free-product promotion created 936 fake acquisitions in July</w:t>
            </w:r>
          </w:p>
        </w:tc>
        <w:tc>
          <w:tcPr>
            <w:tcW w:type="dxa" w:w="1865"/>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July customer gap +954 → +18</w:t>
            </w:r>
          </w:p>
        </w:tc>
        <w:tc>
          <w:tcPr>
            <w:tcW w:type="dxa" w:w="130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July OTP +13.6% → −1.4%</w:t>
            </w:r>
          </w:p>
        </w:tc>
      </w:tr>
    </w:tbl>
    <w:p>
      <w:pPr>
        <w:spacing w:after="160"/>
      </w:pPr>
    </w:p>
    <w:p>
      <w:pPr>
        <w:spacing w:after="140" w:before="0" w:line="276"/>
      </w:pPr>
      <w:r>
        <w:rPr>
          <w:i w:val="false"/>
          <w:iCs w:val="false"/>
        </w:rPr>
        <w:t xml:space="preserve">Change 3 is not in the original brief's list; it emerged from the July investigation and is applied to </w:t>
      </w:r>
      <w:r>
        <w:rPr>
          <w:b/>
          <w:bCs/>
          <w:i w:val="false"/>
          <w:iCs w:val="false"/>
        </w:rPr>
        <w:t xml:space="preserve">both</w:t>
      </w:r>
      <w:r>
        <w:rPr>
          <w:i w:val="false"/>
          <w:iCs w:val="false"/>
        </w:rPr>
        <w:t xml:space="preserve"> tabs, so it is a scope correction rather than an attribution change.</w:t>
      </w:r>
    </w:p>
    <w:p>
      <w:pPr>
        <w:pBdr>
          <w:bottom w:val="single" w:color="D4D4D8" w:sz="6" w:space="1"/>
        </w:pBdr>
        <w:spacing w:after="200" w:before="80"/>
      </w:pPr>
    </w:p>
    <w:p>
      <w:pPr>
        <w:pStyle w:val="Heading1"/>
        <w:spacing w:after="120" w:before="320"/>
      </w:pPr>
      <w:r>
        <w:rPr>
          <w:i w:val="false"/>
          <w:iCs w:val="false"/>
        </w:rPr>
        <w:t xml:space="preserve">5. Each change in detail</w:t>
      </w:r>
    </w:p>
    <w:p>
      <w:pPr>
        <w:pStyle w:val="Heading2"/>
        <w:spacing w:after="120" w:before="220"/>
      </w:pPr>
      <w:r>
        <w:rPr>
          <w:i w:val="false"/>
          <w:iCs w:val="false"/>
        </w:rPr>
        <w:t xml:space="preserve">5.1 Change 1 — post-acquisition attribution</w:t>
      </w:r>
    </w:p>
    <w:p>
      <w:pPr>
        <w:spacing w:after="140" w:before="0" w:line="276"/>
      </w:pPr>
      <w:r>
        <w:rPr>
          <w:b/>
          <w:bCs/>
          <w:i w:val="false"/>
          <w:iCs w:val="false"/>
        </w:rPr>
        <w:t xml:space="preserve">What it does.</w:t>
      </w:r>
      <w:r>
        <w:rPr>
          <w:i w:val="false"/>
          <w:iCs w:val="false"/>
        </w:rPr>
        <w:t xml:space="preserve"> M0 stays in the acquisition bucket. From M1 an order counts as Subscription if </w:t>
      </w:r>
      <w:r>
        <w:rPr>
          <w:b/>
          <w:bCs/>
          <w:i w:val="false"/>
          <w:iCs w:val="false"/>
        </w:rPr>
        <w:t xml:space="preserve">any</w:t>
      </w:r>
      <w:r>
        <w:rPr>
          <w:i w:val="false"/>
          <w:iCs w:val="false"/>
        </w:rPr>
        <w:t xml:space="preserve"> of:</w:t>
      </w:r>
    </w:p>
    <w:p>
      <w:pPr>
        <w:pStyle w:val="ListParagraph"/>
        <w:numPr>
          <w:ilvl w:val="0"/>
          <w:numId w:val="1"/>
        </w:numPr>
        <w:spacing w:after="80" w:before="0" w:line="276"/>
      </w:pPr>
      <w:r>
        <w:rPr>
          <w:i w:val="false"/>
          <w:iCs w:val="false"/>
        </w:rPr>
        <w:t xml:space="preserve">(a) the customer was acquired on Subscription</w:t>
      </w:r>
    </w:p>
    <w:p>
      <w:pPr>
        <w:pStyle w:val="ListParagraph"/>
        <w:numPr>
          <w:ilvl w:val="0"/>
          <w:numId w:val="1"/>
        </w:numPr>
        <w:spacing w:after="80" w:before="0" w:line="276"/>
      </w:pPr>
      <w:r>
        <w:rPr>
          <w:i w:val="false"/>
          <w:iCs w:val="false"/>
        </w:rPr>
        <w:t xml:space="preserve">(b) the order's </w:t>
      </w:r>
      <w:r>
        <w:rPr>
          <w:rFonts w:ascii="Consolas" w:cs="Consolas" w:eastAsia="Consolas" w:hAnsi="Consolas"/>
          <w:i w:val="false"/>
          <w:iCs w:val="false"/>
          <w:sz w:val="17"/>
          <w:szCs w:val="17"/>
        </w:rPr>
        <w:t xml:space="preserve">revenue_bucket</w:t>
      </w:r>
      <w:r>
        <w:rPr>
          <w:i w:val="false"/>
          <w:iCs w:val="false"/>
        </w:rPr>
        <w:t xml:space="preserve"> is </w:t>
      </w:r>
      <w:r>
        <w:rPr>
          <w:rFonts w:ascii="Consolas" w:cs="Consolas" w:eastAsia="Consolas" w:hAnsi="Consolas"/>
          <w:i w:val="false"/>
          <w:iCs w:val="false"/>
          <w:sz w:val="17"/>
          <w:szCs w:val="17"/>
        </w:rPr>
        <w:t xml:space="preserve">NC Subs</w:t>
      </w:r>
      <w:r>
        <w:rPr>
          <w:i w:val="false"/>
          <w:iCs w:val="false"/>
        </w:rPr>
        <w:t xml:space="preserve">, </w:t>
      </w:r>
      <w:r>
        <w:rPr>
          <w:rFonts w:ascii="Consolas" w:cs="Consolas" w:eastAsia="Consolas" w:hAnsi="Consolas"/>
          <w:i w:val="false"/>
          <w:iCs w:val="false"/>
          <w:sz w:val="17"/>
          <w:szCs w:val="17"/>
        </w:rPr>
        <w:t xml:space="preserve">Recurring Day Of</w:t>
      </w:r>
      <w:r>
        <w:rPr>
          <w:i w:val="false"/>
          <w:iCs w:val="false"/>
        </w:rPr>
        <w:t xml:space="preserve">, or </w:t>
      </w:r>
      <w:r>
        <w:rPr>
          <w:rFonts w:ascii="Consolas" w:cs="Consolas" w:eastAsia="Consolas" w:hAnsi="Consolas"/>
          <w:i w:val="false"/>
          <w:iCs w:val="false"/>
          <w:sz w:val="17"/>
          <w:szCs w:val="17"/>
        </w:rPr>
        <w:t xml:space="preserve">SKIO (Recurring)</w:t>
      </w:r>
    </w:p>
    <w:p>
      <w:pPr>
        <w:pStyle w:val="ListParagraph"/>
        <w:numPr>
          <w:ilvl w:val="0"/>
          <w:numId w:val="1"/>
        </w:numPr>
        <w:spacing w:after="80" w:before="0" w:line="276"/>
      </w:pPr>
      <w:r>
        <w:rPr>
          <w:i w:val="false"/>
          <w:iCs w:val="false"/>
        </w:rPr>
        <w:t xml:space="preserve">(c) the order is on or after the customer's first subscription-type order</w:t>
      </w:r>
    </w:p>
    <w:p>
      <w:pPr>
        <w:spacing w:after="140" w:before="0" w:line="276"/>
      </w:pPr>
      <w:r>
        <w:rPr>
          <w:i w:val="false"/>
          <w:iCs w:val="false"/>
        </w:rPr>
        <w:t xml:space="preserve">Returns follow the allocation of the order they reverse (</w:t>
      </w:r>
      <w:r>
        <w:rPr>
          <w:rFonts w:ascii="Consolas" w:cs="Consolas" w:eastAsia="Consolas" w:hAnsi="Consolas"/>
          <w:i w:val="false"/>
          <w:iCs w:val="false"/>
          <w:sz w:val="17"/>
          <w:szCs w:val="17"/>
        </w:rPr>
        <w:t xml:space="preserve">return_order_id = order_id</w:t>
      </w:r>
      <w:r>
        <w:rPr>
          <w:i w:val="false"/>
          <w:iCs w:val="false"/>
        </w:rPr>
        <w:t xml:space="preserve">).</w:t>
      </w:r>
    </w:p>
    <w:p>
      <w:pPr>
        <w:spacing w:after="140" w:before="0" w:line="276"/>
      </w:pPr>
      <w:r>
        <w:rPr>
          <w:b/>
          <w:bCs/>
          <w:i w:val="false"/>
          <w:iCs w:val="false"/>
        </w:rPr>
        <w:t xml:space="preserve">What it does not change.</w:t>
      </w:r>
      <w:r>
        <w:rPr>
          <w:i w:val="false"/>
          <w:iCs w:val="false"/>
        </w:rPr>
        <w:t xml:space="preserve"> Customer counts. Total cohort LTR. Only the split between OTP and Subscription moves — the two buckets always sum to the same total, which is the main check on any implementation.</w:t>
      </w:r>
    </w:p>
    <w:p>
      <w:pPr>
        <w:spacing w:after="140" w:before="0" w:line="276"/>
      </w:pPr>
      <w:r>
        <w:rPr>
          <w:b/>
          <w:bCs/>
          <w:i w:val="false"/>
          <w:iCs w:val="false"/>
        </w:rPr>
        <w:t xml:space="preserve">Why we believe it.</w:t>
      </w:r>
      <w:r>
        <w:rPr>
          <w:i w:val="false"/>
          <w:iCs w:val="false"/>
        </w:rPr>
        <w:t xml:space="preserve"> We scored four candidate rules across all eleven cohorts on the same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30"/>
        <w:gridCol w:w="1088"/>
        <w:gridCol w:w="653"/>
        <w:gridCol w:w="1089"/>
      </w:tblGrid>
      <w:tr>
        <w:trPr>
          <w:tblHeader/>
        </w:trPr>
        <w:tc>
          <w:tcPr>
            <w:tcW w:type="dxa" w:w="6530"/>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rule</w:t>
            </w:r>
          </w:p>
        </w:tc>
        <w:tc>
          <w:tcPr>
            <w:tcW w:type="dxa" w:w="1088"/>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mean error</w:t>
            </w:r>
          </w:p>
        </w:tc>
        <w:tc>
          <w:tcPr>
            <w:tcW w:type="dxa" w:w="653"/>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max</w:t>
            </w:r>
          </w:p>
        </w:tc>
        <w:tc>
          <w:tcPr>
            <w:tcW w:type="dxa" w:w="1089"/>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cells &gt; 5%</w:t>
            </w:r>
          </w:p>
        </w:tc>
      </w:tr>
      <w:tr>
        <w:trPr>
          <w:tblHeader w:val="off"/>
        </w:trPr>
        <w:tc>
          <w:tcPr>
            <w:tcW w:type="dxa" w:w="653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A — acquisition bucket for life (current)</w:t>
            </w:r>
          </w:p>
        </w:tc>
        <w:tc>
          <w:tcPr>
            <w:tcW w:type="dxa" w:w="1088"/>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14.11%</w:t>
            </w:r>
          </w:p>
        </w:tc>
        <w:tc>
          <w:tcPr>
            <w:tcW w:type="dxa" w:w="65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51.1%</w:t>
            </w:r>
          </w:p>
        </w:tc>
        <w:tc>
          <w:tcPr>
            <w:tcW w:type="dxa" w:w="108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102</w:t>
            </w:r>
          </w:p>
        </w:tc>
      </w:tr>
      <w:tr>
        <w:trPr>
          <w:tblHeader w:val="off"/>
        </w:trPr>
        <w:tc>
          <w:tcPr>
            <w:tcW w:type="dxa" w:w="653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b/>
                <w:bCs/>
                <w:i w:val="false"/>
                <w:iCs w:val="false"/>
              </w:rPr>
              <w:t xml:space="preserve">B — the rule above</w:t>
            </w:r>
          </w:p>
        </w:tc>
        <w:tc>
          <w:tcPr>
            <w:tcW w:type="dxa" w:w="1088"/>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b/>
                <w:bCs/>
                <w:i w:val="false"/>
                <w:iCs w:val="false"/>
              </w:rPr>
              <w:t xml:space="preserve">1.03%</w:t>
            </w:r>
          </w:p>
        </w:tc>
        <w:tc>
          <w:tcPr>
            <w:tcW w:type="dxa" w:w="65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6.5%</w:t>
            </w:r>
          </w:p>
        </w:tc>
        <w:tc>
          <w:tcPr>
            <w:tcW w:type="dxa" w:w="108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w:t>
            </w:r>
          </w:p>
        </w:tc>
      </w:tr>
      <w:tr>
        <w:trPr>
          <w:tblHeader w:val="off"/>
        </w:trPr>
        <w:tc>
          <w:tcPr>
            <w:tcW w:type="dxa" w:w="653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B + Faire</w:t>
            </w:r>
          </w:p>
        </w:tc>
        <w:tc>
          <w:tcPr>
            <w:tcW w:type="dxa" w:w="1088"/>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1.11%</w:t>
            </w:r>
          </w:p>
        </w:tc>
        <w:tc>
          <w:tcPr>
            <w:tcW w:type="dxa" w:w="65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3.6%</w:t>
            </w:r>
          </w:p>
        </w:tc>
        <w:tc>
          <w:tcPr>
            <w:tcW w:type="dxa" w:w="108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0</w:t>
            </w:r>
          </w:p>
        </w:tc>
      </w:tr>
      <w:tr>
        <w:trPr>
          <w:tblHeader w:val="off"/>
        </w:trPr>
        <w:tc>
          <w:tcPr>
            <w:tcW w:type="dxa" w:w="653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C — Subscription only </w:t>
            </w:r>
            <w:r>
              <w:rPr>
                <w:i/>
                <w:iCs/>
              </w:rPr>
              <w:t xml:space="preserve">between</w:t>
            </w:r>
            <w:r>
              <w:rPr>
                <w:i w:val="false"/>
                <w:iCs w:val="false"/>
              </w:rPr>
              <w:t xml:space="preserve"> first and last subscription order</w:t>
            </w:r>
          </w:p>
        </w:tc>
        <w:tc>
          <w:tcPr>
            <w:tcW w:type="dxa" w:w="1088"/>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2.16%</w:t>
            </w:r>
          </w:p>
        </w:tc>
        <w:tc>
          <w:tcPr>
            <w:tcW w:type="dxa" w:w="65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6.2%</w:t>
            </w:r>
          </w:p>
        </w:tc>
        <w:tc>
          <w:tcPr>
            <w:tcW w:type="dxa" w:w="108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8</w:t>
            </w:r>
          </w:p>
        </w:tc>
      </w:tr>
    </w:tbl>
    <w:p>
      <w:pPr>
        <w:spacing w:after="160"/>
      </w:pPr>
    </w:p>
    <w:p>
      <w:pPr>
        <w:spacing w:after="140" w:before="0" w:line="276"/>
      </w:pPr>
      <w:r>
        <w:rPr>
          <w:b/>
          <w:bCs/>
          <w:i w:val="false"/>
          <w:iCs w:val="false"/>
        </w:rPr>
        <w:t xml:space="preserve">A caution for whoever reads this next.</w:t>
      </w:r>
      <w:r>
        <w:rPr>
          <w:i w:val="false"/>
          <w:iCs w:val="false"/>
        </w:rPr>
        <w:t xml:space="preserve"> Rule C won an earlier round of this same test, when it was run on </w:t>
      </w:r>
      <w:r>
        <w:rPr>
          <w:rFonts w:ascii="Consolas" w:cs="Consolas" w:eastAsia="Consolas" w:hAnsi="Consolas"/>
          <w:i w:val="false"/>
          <w:iCs w:val="false"/>
          <w:sz w:val="17"/>
          <w:szCs w:val="17"/>
        </w:rPr>
        <w:t xml:space="preserve">LineItemMaster</w:t>
      </w:r>
      <w:r>
        <w:rPr>
          <w:i w:val="false"/>
          <w:iCs w:val="false"/>
        </w:rPr>
        <w:t xml:space="preserve">. It lost decisively once the baseline was corrected. Two separate times in this investigation a rule looked right on one month or one baseline and was wrong across the series. Any future rule change should be scored on all eleven cohorts before it is believed.</w:t>
      </w:r>
    </w:p>
    <w:p>
      <w:pPr>
        <w:pBdr>
          <w:left w:val="single" w:color="A1A1AA" w:sz="12" w:space="8"/>
        </w:pBdr>
        <w:spacing w:after="160" w:before="60" w:line="264"/>
        <w:ind w:left="360"/>
      </w:pPr>
      <w:r>
        <w:rPr>
          <w:rFonts w:ascii="Consolas" w:cs="Consolas" w:eastAsia="Consolas" w:hAnsi="Consolas"/>
          <w:i w:val="false"/>
          <w:iCs w:val="false"/>
          <w:color w:val="52525B"/>
          <w:sz w:val="17"/>
          <w:szCs w:val="17"/>
        </w:rPr>
        <w:t xml:space="preserve">sql/05a_change1_four_rules.sql</w:t>
      </w:r>
      <w:r>
        <w:rPr>
          <w:i w:val="false"/>
          <w:iCs w:val="false"/>
          <w:color w:val="52525B"/>
          <w:sz w:val="19"/>
          <w:szCs w:val="19"/>
        </w:rPr>
        <w:t xml:space="preserve"> · 44 rows (4 rules × 11 cohorts) · key totals in the table above.</w:t>
      </w:r>
    </w:p>
    <w:p>
      <w:pPr>
        <w:pBdr>
          <w:bottom w:val="single" w:color="D4D4D8" w:sz="6" w:space="1"/>
        </w:pBdr>
        <w:spacing w:after="200" w:before="80"/>
      </w:pPr>
    </w:p>
    <w:p>
      <w:pPr>
        <w:pStyle w:val="Heading2"/>
        <w:spacing w:after="120" w:before="220"/>
      </w:pPr>
      <w:r>
        <w:rPr>
          <w:i w:val="false"/>
          <w:iCs w:val="false"/>
        </w:rPr>
        <w:t xml:space="preserve">5.2 Change 2 — Faire wholesale retailers</w:t>
      </w:r>
    </w:p>
    <w:p>
      <w:pPr>
        <w:spacing w:after="140" w:before="0" w:line="276"/>
      </w:pPr>
      <w:r>
        <w:rPr>
          <w:b/>
          <w:bCs/>
          <w:i w:val="false"/>
          <w:iCs w:val="false"/>
        </w:rPr>
        <w:t xml:space="preserve">1. Do we exclude Faire? Yes, deliberately.</w:t>
      </w:r>
    </w:p>
    <w:p>
      <w:pPr>
        <w:spacing w:after="140" w:before="0" w:line="276"/>
      </w:pPr>
      <w:r>
        <w:rPr>
          <w:i w:val="false"/>
          <w:iCs w:val="false"/>
        </w:rPr>
        <w:t xml:space="preserve">The exclusion is a channel list in the client repo's </w:t>
      </w:r>
      <w:r>
        <w:rPr>
          <w:rFonts w:ascii="Consolas" w:cs="Consolas" w:eastAsia="Consolas" w:hAnsi="Consolas"/>
          <w:i w:val="false"/>
          <w:iCs w:val="false"/>
          <w:sz w:val="17"/>
          <w:szCs w:val="17"/>
        </w:rPr>
        <w:t xml:space="preserve">dbt_project.yml</w:t>
      </w:r>
      <w:r>
        <w:rPr>
          <w:i w:val="false"/>
          <w:iCs w:val="false"/>
        </w:rPr>
        <w:t xml:space="preserve">: </w:t>
      </w:r>
      <w:r>
        <w:rPr>
          <w:rFonts w:ascii="Consolas" w:cs="Consolas" w:eastAsia="Consolas" w:hAnsi="Consolas"/>
          <w:i w:val="false"/>
          <w:iCs w:val="false"/>
          <w:sz w:val="17"/>
          <w:szCs w:val="17"/>
        </w:rPr>
        <w:t xml:space="preserve">shopify_revenue_bucket_excluded_channels</w:t>
      </w:r>
      <w:r>
        <w:rPr>
          <w:i w:val="false"/>
          <w:iCs w:val="false"/>
        </w:rPr>
        <w:t xml:space="preserve"> contains </w:t>
      </w:r>
      <w:r>
        <w:rPr>
          <w:rFonts w:ascii="Consolas" w:cs="Consolas" w:eastAsia="Consolas" w:hAnsi="Consolas"/>
          <w:i w:val="false"/>
          <w:iCs w:val="false"/>
          <w:sz w:val="17"/>
          <w:szCs w:val="17"/>
        </w:rPr>
        <w:t xml:space="preserve">'faire'</w:t>
      </w:r>
      <w:r>
        <w:rPr>
          <w:i w:val="false"/>
          <w:iCs w:val="false"/>
        </w:rPr>
        <w:t xml:space="preserve"> and </w:t>
      </w:r>
      <w:r>
        <w:rPr>
          <w:rFonts w:ascii="Consolas" w:cs="Consolas" w:eastAsia="Consolas" w:hAnsi="Consolas"/>
          <w:i w:val="false"/>
          <w:iCs w:val="false"/>
          <w:sz w:val="17"/>
          <w:szCs w:val="17"/>
        </w:rPr>
        <w:t xml:space="preserve">'14264008705'</w:t>
      </w:r>
      <w:r>
        <w:rPr>
          <w:i w:val="false"/>
          <w:iCs w:val="false"/>
        </w:rPr>
        <w:t xml:space="preserve"> (Faire's numeric channel id), under the comment </w:t>
      </w:r>
      <w:r>
        <w:rPr>
          <w:i/>
          <w:iCs/>
        </w:rPr>
        <w:t xml:space="preserve">"Wholesale channels are globally excluded, not bucketed."</w:t>
      </w:r>
      <w:r>
        <w:rPr>
          <w:i w:val="false"/>
          <w:iCs w:val="false"/>
        </w:rPr>
        <w:t xml:space="preserve"> The macro </w:t>
      </w:r>
      <w:r>
        <w:rPr>
          <w:rFonts w:ascii="Consolas" w:cs="Consolas" w:eastAsia="Consolas" w:hAnsi="Consolas"/>
          <w:i w:val="false"/>
          <w:iCs w:val="false"/>
          <w:sz w:val="17"/>
          <w:szCs w:val="17"/>
        </w:rPr>
        <w:t xml:space="preserve">shopify_passes_global_filter</w:t>
      </w:r>
      <w:r>
        <w:rPr>
          <w:i w:val="false"/>
          <w:iCs w:val="false"/>
        </w:rPr>
        <w:t xml:space="preserve"> flags those orders and </w:t>
      </w:r>
      <w:r>
        <w:rPr>
          <w:rFonts w:ascii="Consolas" w:cs="Consolas" w:eastAsia="Consolas" w:hAnsi="Consolas"/>
          <w:i w:val="false"/>
          <w:iCs w:val="false"/>
          <w:sz w:val="17"/>
          <w:szCs w:val="17"/>
        </w:rPr>
        <w:t xml:space="preserve">OrderLinesMaster.sql</w:t>
      </w:r>
      <w:r>
        <w:rPr>
          <w:i w:val="false"/>
          <w:iCs w:val="false"/>
        </w:rPr>
        <w:t xml:space="preserve"> applies </w:t>
      </w:r>
      <w:r>
        <w:rPr>
          <w:rFonts w:ascii="Consolas" w:cs="Consolas" w:eastAsia="Consolas" w:hAnsi="Consolas"/>
          <w:i w:val="false"/>
          <w:iCs w:val="false"/>
          <w:sz w:val="17"/>
          <w:szCs w:val="17"/>
        </w:rPr>
        <w:t xml:space="preserve">coalesce(rb.passes_global_filter, true) = true</w:t>
      </w:r>
      <w:r>
        <w:rPr>
          <w:i w:val="false"/>
          <w:iCs w:val="false"/>
        </w:rPr>
        <w:t xml:space="preserve">. Added in PR #82 (</w:t>
      </w:r>
      <w:r>
        <w:rPr>
          <w:rFonts w:ascii="Consolas" w:cs="Consolas" w:eastAsia="Consolas" w:hAnsi="Consolas"/>
          <w:i w:val="false"/>
          <w:iCs w:val="false"/>
          <w:sz w:val="17"/>
          <w:szCs w:val="17"/>
        </w:rPr>
        <w:t xml:space="preserve">ef00ff5</w:t>
      </w:r>
      <w:r>
        <w:rPr>
          <w:i w:val="false"/>
          <w:iCs w:val="false"/>
        </w:rPr>
        <w:t xml:space="preserve">, 2026-08-17), gated behind an opt-in flag in #83 (2026-09-29).</w:t>
      </w:r>
    </w:p>
    <w:p>
      <w:pPr>
        <w:spacing w:after="140" w:before="0" w:line="276"/>
      </w:pPr>
      <w:r>
        <w:rPr>
          <w:i w:val="false"/>
          <w:iCs w:val="false"/>
        </w:rPr>
        <w:t xml:space="preserve">Effect: </w:t>
      </w:r>
      <w:r>
        <w:rPr>
          <w:b/>
          <w:bCs/>
          <w:i w:val="false"/>
          <w:iCs w:val="false"/>
        </w:rPr>
        <w:t xml:space="preserve">649 Faire orders reach </w:t>
      </w:r>
      <w:r>
        <w:rPr>
          <w:rFonts w:ascii="Consolas" w:cs="Consolas" w:eastAsia="Consolas" w:hAnsi="Consolas"/>
          <w:b/>
          <w:bCs/>
          <w:i w:val="false"/>
          <w:iCs w:val="false"/>
          <w:sz w:val="17"/>
          <w:szCs w:val="17"/>
        </w:rPr>
        <w:t xml:space="preserve">dim_orders</w:t>
      </w:r>
      <w:r>
        <w:rPr>
          <w:b/>
          <w:bCs/>
          <w:i w:val="false"/>
          <w:iCs w:val="false"/>
        </w:rPr>
        <w:t xml:space="preserve">; 0 reach </w:t>
      </w:r>
      <w:r>
        <w:rPr>
          <w:rFonts w:ascii="Consolas" w:cs="Consolas" w:eastAsia="Consolas" w:hAnsi="Consolas"/>
          <w:b/>
          <w:bCs/>
          <w:i w:val="false"/>
          <w:iCs w:val="false"/>
          <w:sz w:val="17"/>
          <w:szCs w:val="17"/>
        </w:rPr>
        <w:t xml:space="preserve">OrderLinesMaster</w:t>
      </w:r>
      <w:r>
        <w:rPr>
          <w:b/>
          <w:bCs/>
          <w:i w:val="false"/>
          <w:iCs w:val="false"/>
        </w:rPr>
        <w:t xml:space="preserve">.</w:t>
      </w:r>
    </w:p>
    <w:p>
      <w:pPr>
        <w:spacing w:after="140" w:before="0" w:line="276"/>
      </w:pPr>
      <w:r>
        <w:rPr>
          <w:b/>
          <w:bCs/>
          <w:i w:val="false"/>
          <w:iCs w:val="false"/>
        </w:rPr>
        <w:t xml:space="preserve">2. Does the client include Faire? The evidence says yes.</w:t>
      </w:r>
    </w:p>
    <w:p>
      <w:pPr>
        <w:pStyle w:val="ListParagraph"/>
        <w:numPr>
          <w:ilvl w:val="0"/>
          <w:numId w:val="1"/>
        </w:numPr>
        <w:spacing w:after="80" w:before="0" w:line="276"/>
      </w:pPr>
      <w:r>
        <w:rPr>
          <w:i w:val="false"/>
          <w:iCs w:val="false"/>
        </w:rPr>
        <w:t xml:space="preserve">293 distinct Faire customer ids exist and are stable; all are in </w:t>
      </w:r>
      <w:r>
        <w:rPr>
          <w:rFonts w:ascii="Consolas" w:cs="Consolas" w:eastAsia="Consolas" w:hAnsi="Consolas"/>
          <w:i w:val="false"/>
          <w:iCs w:val="false"/>
          <w:sz w:val="17"/>
          <w:szCs w:val="17"/>
        </w:rPr>
        <w:t xml:space="preserve">dim_customer</w:t>
      </w:r>
      <w:r>
        <w:rPr>
          <w:i w:val="false"/>
          <w:iCs w:val="false"/>
        </w:rPr>
        <w:t xml:space="preserve"> and </w:t>
      </w:r>
      <w:r>
        <w:rPr>
          <w:rFonts w:ascii="Consolas" w:cs="Consolas" w:eastAsia="Consolas" w:hAnsi="Consolas"/>
          <w:i w:val="false"/>
          <w:iCs w:val="false"/>
          <w:sz w:val="17"/>
          <w:szCs w:val="17"/>
        </w:rPr>
        <w:t xml:space="preserve">CustomerMaster</w:t>
      </w:r>
      <w:r>
        <w:rPr>
          <w:i w:val="false"/>
          <w:iCs w:val="false"/>
        </w:rPr>
        <w:t xml:space="preserve">. Only </w:t>
      </w:r>
      <w:r>
        <w:rPr>
          <w:b/>
          <w:bCs/>
          <w:i w:val="false"/>
          <w:iCs w:val="false"/>
        </w:rPr>
        <w:t xml:space="preserve">40</w:t>
      </w:r>
      <w:r>
        <w:rPr>
          <w:i w:val="false"/>
          <w:iCs w:val="false"/>
        </w:rPr>
        <w:t xml:space="preserve"> have any </w:t>
      </w:r>
      <w:r>
        <w:rPr>
          <w:rFonts w:ascii="Consolas" w:cs="Consolas" w:eastAsia="Consolas" w:hAnsi="Consolas"/>
          <w:i w:val="false"/>
          <w:iCs w:val="false"/>
          <w:sz w:val="17"/>
          <w:szCs w:val="17"/>
        </w:rPr>
        <w:t xml:space="preserve">OrderLinesMaster</w:t>
      </w:r>
      <w:r>
        <w:rPr>
          <w:i w:val="false"/>
          <w:iCs w:val="false"/>
        </w:rPr>
        <w:t xml:space="preserve"> row — those are retailers who also bought through the web.</w:t>
      </w:r>
    </w:p>
    <w:p>
      <w:pPr>
        <w:pStyle w:val="ListParagraph"/>
        <w:numPr>
          <w:ilvl w:val="0"/>
          <w:numId w:val="1"/>
        </w:numPr>
        <w:spacing w:after="80" w:before="0" w:line="276"/>
      </w:pPr>
      <w:r>
        <w:rPr>
          <w:i w:val="false"/>
          <w:iCs w:val="false"/>
        </w:rPr>
        <w:t xml:space="preserve">The client's March customer list contains </w:t>
      </w:r>
      <w:r>
        <w:rPr>
          <w:b/>
          <w:bCs/>
          <w:i w:val="false"/>
          <w:iCs w:val="false"/>
        </w:rPr>
        <w:t xml:space="preserve">22 </w:t>
      </w:r>
      <w:r>
        <w:rPr>
          <w:rFonts w:ascii="Consolas" w:cs="Consolas" w:eastAsia="Consolas" w:hAnsi="Consolas"/>
          <w:b/>
          <w:bCs/>
          <w:i w:val="false"/>
          <w:iCs w:val="false"/>
          <w:sz w:val="17"/>
          <w:szCs w:val="17"/>
        </w:rPr>
        <w:t xml:space="preserve">@relay.faire.com</w:t>
      </w:r>
      <w:r>
        <w:rPr>
          <w:i w:val="false"/>
          <w:iCs w:val="false"/>
        </w:rPr>
        <w:t xml:space="preserve"> customers. Ours contained 1. </w:t>
      </w:r>
      <w:r>
        <w:rPr>
          <w:i/>
          <w:iCs/>
        </w:rPr>
        <w:t xml:space="preserve">(This is a floor, not a count: only 397 of 649 Faire orders use a relay email, so Faire buyers with ordinary emails are not detectable this way. Any future matching should use </w:t>
      </w:r>
      <w:r>
        <w:rPr>
          <w:rFonts w:ascii="Consolas" w:cs="Consolas" w:eastAsia="Consolas" w:hAnsi="Consolas"/>
          <w:i/>
          <w:iCs/>
          <w:sz w:val="17"/>
          <w:szCs w:val="17"/>
        </w:rPr>
        <w:t xml:space="preserve">customer_id</w:t>
      </w:r>
      <w:r>
        <w:rPr>
          <w:i/>
          <w:iCs/>
        </w:rPr>
        <w:t xml:space="preserve">.)</w:t>
      </w:r>
    </w:p>
    <w:p>
      <w:pPr>
        <w:pStyle w:val="ListParagraph"/>
        <w:numPr>
          <w:ilvl w:val="0"/>
          <w:numId w:val="1"/>
        </w:numPr>
        <w:spacing w:after="80" w:before="0" w:line="276"/>
      </w:pPr>
      <w:r>
        <w:rPr>
          <w:i w:val="false"/>
          <w:iCs w:val="false"/>
        </w:rPr>
        <w:t xml:space="preserve">Faire launched </w:t>
      </w:r>
      <w:r>
        <w:rPr>
          <w:b/>
          <w:bCs/>
          <w:i w:val="false"/>
          <w:iCs w:val="false"/>
        </w:rPr>
        <w:t xml:space="preserve">2026-02-10</w:t>
      </w:r>
      <w:r>
        <w:rPr>
          <w:i w:val="false"/>
          <w:iCs w:val="false"/>
        </w:rPr>
        <w:t xml:space="preserve">. New Faire retailers by cohort: Feb 17, Mar 33, Apr 25, May 37, Jun 33, Jul 46 — and our OTP position versus the client turns negative from exactly those cohorts onward.</w:t>
      </w:r>
    </w:p>
    <w:p>
      <w:pPr>
        <w:spacing w:after="140" w:before="0" w:line="276"/>
      </w:pPr>
      <w:r>
        <w:rPr>
          <w:b/>
          <w:bCs/>
          <w:i w:val="false"/>
          <w:iCs w:val="false"/>
        </w:rPr>
        <w:t xml:space="preserve">3. Why this first looked like the Skio migration.</w:t>
      </w:r>
      <w:r>
        <w:rPr>
          <w:i w:val="false"/>
          <w:iCs w:val="false"/>
        </w:rPr>
        <w:t xml:space="preserve"> The original RCA attributed a growing subscription gap to the Luna→Skio feed migration, whose Luna feed stopped on 2026-02-16. Faire launched 2026-02-10. Two unrelated events six days apart, both producing a step change in February. The Skio story was dropped once total cohort revenue was shown to be within ~1% of the client's — a missing-data story predicts a large total shortfall, and there wasn't one.</w:t>
      </w:r>
    </w:p>
    <w:p>
      <w:pPr>
        <w:spacing w:after="140" w:before="0" w:line="276"/>
      </w:pPr>
      <w:r>
        <w:rPr>
          <w:b/>
          <w:bCs/>
          <w:i w:val="false"/>
          <w:iCs w:val="false"/>
        </w:rPr>
        <w:t xml:space="preserve">4. What the data cannot settle.</w:t>
      </w:r>
      <w:r>
        <w:rPr>
          <w:i w:val="false"/>
          <w:iCs w:val="false"/>
        </w:rPr>
        <w:t xml:space="preserve"> Whether the client </w:t>
      </w:r>
      <w:r>
        <w:rPr>
          <w:i/>
          <w:iCs/>
        </w:rPr>
        <w:t xml:space="preserve">intends</w:t>
      </w:r>
      <w:r>
        <w:rPr>
          <w:i w:val="false"/>
          <w:iCs w:val="false"/>
        </w:rPr>
        <w:t xml:space="preserve"> wholesale retailers to count as LTV customers, or whether their inclusion is incidental. Faire is B2B; the exclusion was a deliberate policy decision by whoever owns PR #82. The data says the client counts them. It does not say they should.</w:t>
      </w:r>
    </w:p>
    <w:p>
      <w:pPr>
        <w:spacing w:after="140" w:before="0" w:line="276"/>
      </w:pPr>
      <w:r>
        <w:rPr>
          <w:b/>
          <w:bCs/>
          <w:i w:val="false"/>
          <w:iCs w:val="false"/>
        </w:rPr>
        <w:t xml:space="preserve">The denominator trap.</w:t>
      </w:r>
      <w:r>
        <w:rPr>
          <w:i w:val="false"/>
          <w:iCs w:val="false"/>
        </w:rPr>
        <w:t xml:space="preserve"> Faire must add </w:t>
      </w:r>
      <w:r>
        <w:rPr>
          <w:b/>
          <w:bCs/>
          <w:i w:val="false"/>
          <w:iCs w:val="false"/>
        </w:rPr>
        <w:t xml:space="preserve">customers as well as revenue</w:t>
      </w:r>
      <w:r>
        <w:rPr>
          <w:i w:val="false"/>
          <w:iCs w:val="false"/>
        </w:rPr>
        <w:t xml:space="preserve">. An earlier version added only revenue, which inflated LTR per customer because 87% of Faire revenue ($199K of $228K) belongs to retailers with no </w:t>
      </w:r>
      <w:r>
        <w:rPr>
          <w:rFonts w:ascii="Consolas" w:cs="Consolas" w:eastAsia="Consolas" w:hAnsi="Consolas"/>
          <w:i w:val="false"/>
          <w:iCs w:val="false"/>
          <w:sz w:val="17"/>
          <w:szCs w:val="17"/>
        </w:rPr>
        <w:t xml:space="preserve">OrderLinesMaster</w:t>
      </w:r>
      <w:r>
        <w:rPr>
          <w:i w:val="false"/>
          <w:iCs w:val="false"/>
        </w:rPr>
        <w:t xml:space="preserve"> row at all. On a dollar comparison this is invisible; on a per-customer basis it is not.</w:t>
      </w:r>
    </w:p>
    <w:p>
      <w:pPr>
        <w:pBdr>
          <w:left w:val="single" w:color="A1A1AA" w:sz="12" w:space="8"/>
        </w:pBdr>
        <w:spacing w:after="160" w:before="60" w:line="264"/>
        <w:ind w:left="360"/>
      </w:pPr>
      <w:r>
        <w:rPr>
          <w:rFonts w:ascii="Consolas" w:cs="Consolas" w:eastAsia="Consolas" w:hAnsi="Consolas"/>
          <w:i w:val="false"/>
          <w:iCs w:val="false"/>
          <w:color w:val="52525B"/>
          <w:sz w:val="17"/>
          <w:szCs w:val="17"/>
        </w:rPr>
        <w:t xml:space="preserve">sql/05b_change2_faire.sql</w:t>
      </w:r>
      <w:r>
        <w:rPr>
          <w:i w:val="false"/>
          <w:iCs w:val="false"/>
          <w:color w:val="52525B"/>
          <w:sz w:val="19"/>
          <w:szCs w:val="19"/>
        </w:rPr>
        <w:t xml:space="preserve"> · Faire: 649 orders, 293 customers, first order 2026-02-10, ~$228K subtotal.</w:t>
      </w:r>
    </w:p>
    <w:p>
      <w:pPr>
        <w:pBdr>
          <w:bottom w:val="single" w:color="D4D4D8" w:sz="6" w:space="1"/>
        </w:pBdr>
        <w:spacing w:after="200" w:before="80"/>
      </w:pPr>
    </w:p>
    <w:p>
      <w:pPr>
        <w:pStyle w:val="Heading2"/>
        <w:spacing w:after="120" w:before="220"/>
      </w:pPr>
      <w:r>
        <w:rPr>
          <w:i w:val="false"/>
          <w:iCs w:val="false"/>
        </w:rPr>
        <w:t xml:space="preserve">5.3 Change 3 — $0 founding orders (July 2026)</w:t>
      </w:r>
    </w:p>
    <w:p>
      <w:pPr>
        <w:spacing w:after="140" w:before="0" w:line="276"/>
      </w:pPr>
      <w:r>
        <w:rPr>
          <w:b/>
          <w:bCs/>
          <w:i w:val="false"/>
          <w:iCs w:val="false"/>
        </w:rPr>
        <w:t xml:space="preserve">What happened.</w:t>
      </w:r>
      <w:r>
        <w:rPr>
          <w:i w:val="false"/>
          <w:iCs w:val="false"/>
        </w:rPr>
        <w:t xml:space="preserve"> On </w:t>
      </w:r>
      <w:r>
        <w:rPr>
          <w:b/>
          <w:bCs/>
          <w:i w:val="false"/>
          <w:iCs w:val="false"/>
        </w:rPr>
        <w:t xml:space="preserve">2026-07-09</w:t>
      </w:r>
      <w:r>
        <w:rPr>
          <w:i w:val="false"/>
          <w:iCs w:val="false"/>
        </w:rPr>
        <w:t xml:space="preserve"> a free-product promotion (</w:t>
      </w:r>
      <w:r>
        <w:rPr>
          <w:rFonts w:ascii="Consolas" w:cs="Consolas" w:eastAsia="Consolas" w:hAnsi="Consolas"/>
          <w:i w:val="false"/>
          <w:iCs w:val="false"/>
          <w:sz w:val="17"/>
          <w:szCs w:val="17"/>
        </w:rPr>
        <w:t xml:space="preserve">PRIMEVANILLASACHET</w:t>
      </w:r>
      <w:r>
        <w:rPr>
          <w:i w:val="false"/>
          <w:iCs w:val="false"/>
        </w:rPr>
        <w:t xml:space="preserve">, </w:t>
      </w:r>
      <w:r>
        <w:rPr>
          <w:rFonts w:ascii="Consolas" w:cs="Consolas" w:eastAsia="Consolas" w:hAnsi="Consolas"/>
          <w:i w:val="false"/>
          <w:iCs w:val="false"/>
          <w:sz w:val="17"/>
          <w:szCs w:val="17"/>
        </w:rPr>
        <w:t xml:space="preserve">EQUIP-TOTE-01</w:t>
      </w:r>
      <w:r>
        <w:rPr>
          <w:i w:val="false"/>
          <w:iCs w:val="false"/>
        </w:rPr>
        <w:t xml:space="preserve">) created </w:t>
      </w:r>
      <w:r>
        <w:rPr>
          <w:b/>
          <w:bCs/>
          <w:i w:val="false"/>
          <w:iCs w:val="false"/>
        </w:rPr>
        <w:t xml:space="preserve">936 acquisitions worth nothing</w:t>
      </w:r>
      <w:r>
        <w:rPr>
          <w:i w:val="false"/>
          <w:iCs w:val="false"/>
        </w:rPr>
        <w:t xml:space="preserve">. 871 of 875 sub-$5 founding orders are dated that one day. A further 66 are shipping-only — </w:t>
      </w:r>
      <w:r>
        <w:rPr>
          <w:rFonts w:ascii="Consolas" w:cs="Consolas" w:eastAsia="Consolas" w:hAnsi="Consolas"/>
          <w:i w:val="false"/>
          <w:iCs w:val="false"/>
          <w:sz w:val="17"/>
          <w:szCs w:val="17"/>
        </w:rPr>
        <w:t xml:space="preserve">total_price = 0</w:t>
      </w:r>
      <w:r>
        <w:rPr>
          <w:i w:val="false"/>
          <w:iCs w:val="false"/>
        </w:rPr>
        <w:t xml:space="preserve"> with $6.99–24.99 of shipping — which a </w:t>
      </w:r>
      <w:r>
        <w:rPr>
          <w:rFonts w:ascii="Consolas" w:cs="Consolas" w:eastAsia="Consolas" w:hAnsi="Consolas"/>
          <w:i w:val="false"/>
          <w:iCs w:val="false"/>
          <w:sz w:val="17"/>
          <w:szCs w:val="17"/>
        </w:rPr>
        <w:t xml:space="preserve">&lt; $5</w:t>
      </w:r>
      <w:r>
        <w:rPr>
          <w:i w:val="false"/>
          <w:iCs w:val="false"/>
        </w:rPr>
        <w:t xml:space="preserve"> cut would miss.</w:t>
      </w:r>
    </w:p>
    <w:p>
      <w:pPr>
        <w:spacing w:after="140" w:before="0" w:line="276"/>
      </w:pPr>
      <w:r>
        <w:rPr>
          <w:b/>
          <w:bCs/>
          <w:i w:val="false"/>
          <w:iCs w:val="false"/>
        </w:rPr>
        <w:t xml:space="preserve">Why it is a real exclusion, not a fit.</w:t>
      </w:r>
      <w:r>
        <w:rPr>
          <w:i w:val="false"/>
          <w:iCs w:val="false"/>
        </w:rPr>
        <w:t xml:space="preserve"> Our extra 954 July customers carry </w:t>
      </w:r>
      <w:r>
        <w:rPr>
          <w:b/>
          <w:bCs/>
          <w:i w:val="false"/>
          <w:iCs w:val="false"/>
        </w:rPr>
        <w:t xml:space="preserve">$3.57 each</w:t>
      </w:r>
      <w:r>
        <w:rPr>
          <w:i w:val="false"/>
          <w:iCs w:val="false"/>
        </w:rPr>
        <w:t xml:space="preserve"> against a cohort average of $93.96. They are acquisitions with no money attached.</w:t>
      </w:r>
    </w:p>
    <w:p>
      <w:pPr>
        <w:spacing w:after="140" w:before="0" w:line="276"/>
      </w:pPr>
      <w:r>
        <w:rPr>
          <w:b/>
          <w:bCs/>
          <w:i w:val="false"/>
          <w:iCs w:val="false"/>
        </w:rPr>
        <w:t xml:space="preserve">Effect.</w:t>
      </w:r>
      <w:r>
        <w:rPr>
          <w:i w:val="false"/>
          <w:iCs w:val="false"/>
        </w:rPr>
        <w:t xml:space="preserve"> July customer gap </w:t>
      </w:r>
      <w:r>
        <w:rPr>
          <w:b/>
          <w:bCs/>
          <w:i w:val="false"/>
          <w:iCs w:val="false"/>
        </w:rPr>
        <w:t xml:space="preserve">+954 → +18</w:t>
      </w:r>
      <w:r>
        <w:rPr>
          <w:i w:val="false"/>
          <w:iCs w:val="false"/>
        </w:rPr>
        <w:t xml:space="preserve">; July OTP error </w:t>
      </w:r>
      <w:r>
        <w:rPr>
          <w:b/>
          <w:bCs/>
          <w:i w:val="false"/>
          <w:iCs w:val="false"/>
        </w:rPr>
        <w:t xml:space="preserve">+13.6% → −1.4%</w:t>
      </w:r>
      <w:r>
        <w:rPr>
          <w:i w:val="false"/>
          <w:iCs w:val="false"/>
        </w:rPr>
        <w:t xml:space="preserve">. Outside July the rule is a wash: worse by 27 customers in three cohorts, better by 25 in three others.</w:t>
      </w:r>
    </w:p>
    <w:p>
      <w:pPr>
        <w:spacing w:after="140" w:before="0" w:line="276"/>
      </w:pPr>
      <w:r>
        <w:rPr>
          <w:b/>
          <w:bCs/>
          <w:i w:val="false"/>
          <w:iCs w:val="false"/>
        </w:rPr>
        <w:t xml:space="preserve">Implementation note.</w:t>
      </w:r>
      <w:r>
        <w:rPr>
          <w:i w:val="false"/>
          <w:iCs w:val="false"/>
        </w:rPr>
        <w:t xml:space="preserve"> Scope it to the </w:t>
      </w:r>
      <w:r>
        <w:rPr>
          <w:b/>
          <w:bCs/>
          <w:i w:val="false"/>
          <w:iCs w:val="false"/>
        </w:rPr>
        <w:t xml:space="preserve">founding order only</w:t>
      </w:r>
      <w:r>
        <w:rPr>
          <w:i w:val="false"/>
          <w:iCs w:val="false"/>
        </w:rPr>
        <w:t xml:space="preserve">. Applied globally it would drop legitimate $0 replacements and comped follow-ups. Use </w:t>
      </w:r>
      <w:r>
        <w:rPr>
          <w:rFonts w:ascii="Consolas" w:cs="Consolas" w:eastAsia="Consolas" w:hAnsi="Consolas"/>
          <w:i w:val="false"/>
          <w:iCs w:val="false"/>
          <w:sz w:val="17"/>
          <w:szCs w:val="17"/>
        </w:rPr>
        <w:t xml:space="preserve">total_price</w:t>
      </w:r>
      <w:r>
        <w:rPr>
          <w:i w:val="false"/>
          <w:iCs w:val="false"/>
        </w:rPr>
        <w:t xml:space="preserve">, not </w:t>
      </w:r>
      <w:r>
        <w:rPr>
          <w:rFonts w:ascii="Consolas" w:cs="Consolas" w:eastAsia="Consolas" w:hAnsi="Consolas"/>
          <w:i w:val="false"/>
          <w:iCs w:val="false"/>
          <w:sz w:val="17"/>
          <w:szCs w:val="17"/>
        </w:rPr>
        <w:t xml:space="preserve">total_line_items_price</w:t>
      </w:r>
      <w:r>
        <w:rPr>
          <w:i w:val="false"/>
          <w:iCs w:val="false"/>
        </w:rPr>
        <w:t xml:space="preserve">, which misses 2 of the 875 and all 66 shipping-only cases.</w:t>
      </w:r>
    </w:p>
    <w:p>
      <w:pPr>
        <w:pBdr>
          <w:left w:val="single" w:color="A1A1AA" w:sz="12" w:space="8"/>
        </w:pBdr>
        <w:spacing w:after="160" w:before="60" w:line="264"/>
        <w:ind w:left="360"/>
      </w:pPr>
      <w:r>
        <w:rPr>
          <w:rFonts w:ascii="Consolas" w:cs="Consolas" w:eastAsia="Consolas" w:hAnsi="Consolas"/>
          <w:i w:val="false"/>
          <w:iCs w:val="false"/>
          <w:color w:val="52525B"/>
          <w:sz w:val="17"/>
          <w:szCs w:val="17"/>
        </w:rPr>
        <w:t xml:space="preserve">sql/05c_change3_zero_founding.sql</w:t>
      </w:r>
      <w:r>
        <w:rPr>
          <w:i w:val="false"/>
          <w:iCs w:val="false"/>
          <w:color w:val="52525B"/>
          <w:sz w:val="19"/>
          <w:szCs w:val="19"/>
        </w:rPr>
        <w:t xml:space="preserve"> · July: 936 customers dropped, 11,786 → 10,850 against the client's 10,832.</w:t>
      </w:r>
    </w:p>
    <w:p>
      <w:pPr>
        <w:pBdr>
          <w:bottom w:val="single" w:color="D4D4D8" w:sz="6" w:space="1"/>
        </w:pBdr>
        <w:spacing w:after="200" w:before="80"/>
      </w:pPr>
    </w:p>
    <w:p>
      <w:pPr>
        <w:pStyle w:val="Heading2"/>
        <w:spacing w:after="120" w:before="220"/>
      </w:pPr>
      <w:r>
        <w:rPr>
          <w:i w:val="false"/>
          <w:iCs w:val="false"/>
        </w:rPr>
        <w:t xml:space="preserve">5.4 The validation-only step we did </w:t>
      </w:r>
      <w:r>
        <w:rPr>
          <w:b/>
          <w:bCs/>
          <w:i w:val="false"/>
          <w:iCs w:val="false"/>
        </w:rPr>
        <w:t xml:space="preserve">not</w:t>
      </w:r>
      <w:r>
        <w:rPr>
          <w:i w:val="false"/>
          <w:iCs w:val="false"/>
        </w:rPr>
        <w:t xml:space="preserve"> adopt</w:t>
      </w:r>
    </w:p>
    <w:p>
      <w:pPr>
        <w:spacing w:after="140" w:before="0" w:line="276"/>
      </w:pPr>
      <w:r>
        <w:rPr>
          <w:i w:val="false"/>
          <w:iCs w:val="false"/>
        </w:rPr>
        <w:t xml:space="preserve">For March only, an earlier run removed 60 customers absent from the client's customer list. </w:t>
      </w:r>
      <w:r>
        <w:rPr>
          <w:b/>
          <w:bCs/>
          <w:i w:val="false"/>
          <w:iCs w:val="false"/>
        </w:rPr>
        <w:t xml:space="preserve">This should not go into the dashboard</w:t>
      </w:r>
      <w:r>
        <w:rPr>
          <w:i w:val="false"/>
          <w:iCs w:val="false"/>
        </w:rPr>
        <w:t xml:space="preserve"> — it is a hardcoded id list, it breaks the moment the client re-exports, and it is fitting to the answer rather than deriving a rule.</w:t>
      </w:r>
    </w:p>
    <w:p>
      <w:pPr>
        <w:spacing w:after="140" w:before="0" w:line="276"/>
      </w:pPr>
      <w:r>
        <w:rPr>
          <w:i w:val="false"/>
          <w:iCs w:val="false"/>
        </w:rPr>
        <w:t xml:space="preserve">We then tried to find the </w:t>
      </w:r>
      <w:r>
        <w:rPr>
          <w:i/>
          <w:iCs/>
        </w:rPr>
        <w:t xml:space="preserve">rule</w:t>
      </w:r>
      <w:r>
        <w:rPr>
          <w:i w:val="false"/>
          <w:iCs w:val="false"/>
        </w:rPr>
        <w:t xml:space="preserve"> behind those 60: 42 had a draft order and 43 carried a seeding tag. Every variant of a seeding exclusion </w:t>
      </w:r>
      <w:r>
        <w:rPr>
          <w:b/>
          <w:bCs/>
          <w:i w:val="false"/>
          <w:iCs w:val="false"/>
        </w:rPr>
        <w:t xml:space="preserve">overshot</w:t>
      </w:r>
      <w:r>
        <w:rPr>
          <w:i w:val="false"/>
          <w:iCs w:val="false"/>
        </w:rPr>
        <w:t xml:space="preserve"> — it removed 626–1,338 customers against a total excess of just </w:t>
      </w:r>
      <w:r>
        <w:rPr>
          <w:b/>
          <w:bCs/>
          <w:i w:val="false"/>
          <w:iCs w:val="false"/>
        </w:rPr>
        <w:t xml:space="preserve">+51</w:t>
      </w:r>
      <w:r>
        <w:rPr>
          <w:i w:val="false"/>
          <w:iCs w:val="false"/>
        </w:rPr>
        <w:t xml:space="preserve"> across ten cohorts, and the excluded customers turned out to be </w:t>
      </w:r>
      <w:r>
        <w:rPr>
          <w:i/>
          <w:iCs/>
        </w:rPr>
        <w:t xml:space="preserve">above</w:t>
      </w:r>
      <w:r>
        <w:rPr>
          <w:i w:val="false"/>
          <w:iCs w:val="false"/>
        </w:rPr>
        <w:t xml:space="preserve"> average value ($251 / $324 against $165 / $267), i.e. real buyers who happened to receive a gift. Rejected.</w:t>
      </w:r>
    </w:p>
    <w:p>
      <w:pPr>
        <w:spacing w:after="140" w:before="0" w:line="276"/>
      </w:pPr>
      <w:r>
        <w:rPr>
          <w:i w:val="false"/>
          <w:iCs w:val="false"/>
        </w:rPr>
        <w:t xml:space="preserve">That failure produced the most useful framing in the investigation: across the ten non-July cohorts we hold </w:t>
      </w:r>
      <w:r>
        <w:rPr>
          <w:b/>
          <w:bCs/>
          <w:i w:val="false"/>
          <w:iCs w:val="false"/>
        </w:rPr>
        <w:t xml:space="preserve">+166 too many OTP and −115 too few Subscription</w:t>
      </w:r>
      <w:r>
        <w:rPr>
          <w:i w:val="false"/>
          <w:iCs w:val="false"/>
        </w:rPr>
        <w:t xml:space="preserve">, netting to +51. </w:t>
      </w:r>
      <w:r>
        <w:rPr>
          <w:b/>
          <w:bCs/>
          <w:i w:val="false"/>
          <w:iCs w:val="false"/>
        </w:rPr>
        <w:t xml:space="preserve">That is a classification difference, not a population one</w:t>
      </w:r>
      <w:r>
        <w:rPr>
          <w:i w:val="false"/>
          <w:iCs w:val="false"/>
        </w:rPr>
        <w:t xml:space="preserve"> — which is why no exclusion rule could ever close it. Removing customers cannot create Subscription ones.</w:t>
      </w:r>
    </w:p>
    <w:p>
      <w:pPr>
        <w:pBdr>
          <w:bottom w:val="single" w:color="D4D4D8" w:sz="6" w:space="1"/>
        </w:pBdr>
        <w:spacing w:after="200" w:before="80"/>
      </w:pPr>
    </w:p>
    <w:p>
      <w:pPr>
        <w:pStyle w:val="Heading1"/>
        <w:spacing w:after="120" w:before="320"/>
      </w:pPr>
      <w:r>
        <w:rPr>
          <w:i w:val="false"/>
          <w:iCs w:val="false"/>
        </w:rPr>
        <w:t xml:space="preserve">6. Results — March 2026</w:t>
      </w:r>
    </w:p>
    <w:p>
      <w:pPr>
        <w:spacing w:after="140" w:before="0" w:line="276"/>
      </w:pPr>
      <w:r>
        <w:rPr>
          <w:i w:val="false"/>
          <w:iCs w:val="false"/>
        </w:rPr>
        <w:t xml:space="preserve">Cumulative LTR </w:t>
      </w:r>
      <w:r>
        <w:rPr>
          <w:b/>
          <w:bCs/>
          <w:i w:val="false"/>
          <w:iCs w:val="false"/>
        </w:rPr>
        <w:t xml:space="preserve">per customer</w:t>
      </w:r>
      <w:r>
        <w:rPr>
          <w:i w:val="false"/>
          <w:iCs w:val="false"/>
        </w:rPr>
        <w:t xml:space="preserve">, </w:t>
      </w:r>
      <w:r>
        <w:rPr>
          <w:rFonts w:ascii="Consolas" w:cs="Consolas" w:eastAsia="Consolas" w:hAnsi="Consolas"/>
          <w:i w:val="false"/>
          <w:iCs w:val="false"/>
          <w:sz w:val="17"/>
          <w:szCs w:val="17"/>
        </w:rPr>
        <w:t xml:space="preserve">(ours − client) / client</w:t>
      </w:r>
      <w:r>
        <w:rPr>
          <w:i w:val="false"/>
          <w:iCs w:val="false"/>
        </w:rPr>
        <w:t xml:space="preserve">.</w:t>
      </w:r>
    </w:p>
    <w:p>
      <w:pPr>
        <w:pStyle w:val="Heading2"/>
        <w:spacing w:after="120" w:before="220"/>
      </w:pPr>
      <w:r>
        <w:rPr>
          <w:i w:val="false"/>
          <w:iCs w:val="false"/>
        </w:rPr>
        <w:t xml:space="preserve">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684"/>
        <w:gridCol w:w="1123"/>
        <w:gridCol w:w="1123"/>
        <w:gridCol w:w="1310"/>
        <w:gridCol w:w="1874"/>
      </w:tblGrid>
      <w:tr>
        <w:trPr>
          <w:tblHeader/>
        </w:trPr>
        <w:tc>
          <w:tcPr>
            <w:tcW w:type="dxa" w:w="2246"/>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variant</w:t>
            </w:r>
          </w:p>
        </w:tc>
        <w:tc>
          <w:tcPr>
            <w:tcW w:type="dxa" w:w="1684"/>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customers</w:t>
            </w:r>
          </w:p>
        </w:tc>
        <w:tc>
          <w:tcPr>
            <w:tcW w:type="dxa" w:w="1123"/>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M0</w:t>
            </w:r>
          </w:p>
        </w:tc>
        <w:tc>
          <w:tcPr>
            <w:tcW w:type="dxa" w:w="1123"/>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M4</w:t>
            </w:r>
          </w:p>
        </w:tc>
        <w:tc>
          <w:tcPr>
            <w:tcW w:type="dxa" w:w="1310"/>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M0 diff</w:t>
            </w:r>
          </w:p>
        </w:tc>
        <w:tc>
          <w:tcPr>
            <w:tcW w:type="dxa" w:w="1874"/>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M4 diff</w:t>
            </w:r>
          </w:p>
        </w:tc>
      </w:tr>
      <w:tr>
        <w:trPr>
          <w:tblHeader w:val="off"/>
        </w:trPr>
        <w:tc>
          <w:tcPr>
            <w:tcW w:type="dxa" w:w="224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Before</w:t>
            </w:r>
          </w:p>
        </w:tc>
        <w:tc>
          <w:tcPr>
            <w:tcW w:type="dxa" w:w="168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6,643</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95.00</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148.16</w:t>
            </w:r>
          </w:p>
        </w:tc>
        <w:tc>
          <w:tcPr>
            <w:tcW w:type="dxa" w:w="131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−0.4%</w:t>
            </w:r>
          </w:p>
        </w:tc>
        <w:tc>
          <w:tcPr>
            <w:tcW w:type="dxa" w:w="18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b/>
                <w:bCs/>
                <w:i w:val="false"/>
                <w:iCs w:val="false"/>
              </w:rPr>
              <w:t xml:space="preserve">+13.4%</w:t>
            </w:r>
          </w:p>
        </w:tc>
      </w:tr>
      <w:tr>
        <w:trPr>
          <w:tblHeader w:val="off"/>
        </w:trPr>
        <w:tc>
          <w:tcPr>
            <w:tcW w:type="dxa" w:w="224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After ch.1</w:t>
            </w:r>
          </w:p>
        </w:tc>
        <w:tc>
          <w:tcPr>
            <w:tcW w:type="dxa" w:w="168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6,643</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95.00</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122.26</w:t>
            </w:r>
          </w:p>
        </w:tc>
        <w:tc>
          <w:tcPr>
            <w:tcW w:type="dxa" w:w="131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−0.4%</w:t>
            </w:r>
          </w:p>
        </w:tc>
        <w:tc>
          <w:tcPr>
            <w:tcW w:type="dxa" w:w="18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−6.5%</w:t>
            </w:r>
          </w:p>
        </w:tc>
      </w:tr>
      <w:tr>
        <w:trPr>
          <w:tblHeader w:val="off"/>
        </w:trPr>
        <w:tc>
          <w:tcPr>
            <w:tcW w:type="dxa" w:w="224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After ch.1+2</w:t>
            </w:r>
          </w:p>
        </w:tc>
        <w:tc>
          <w:tcPr>
            <w:tcW w:type="dxa" w:w="168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6,676</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97.08</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128.78</w:t>
            </w:r>
          </w:p>
        </w:tc>
        <w:tc>
          <w:tcPr>
            <w:tcW w:type="dxa" w:w="131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+1.8%</w:t>
            </w:r>
          </w:p>
        </w:tc>
        <w:tc>
          <w:tcPr>
            <w:tcW w:type="dxa" w:w="18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b/>
                <w:bCs/>
                <w:i w:val="false"/>
                <w:iCs w:val="false"/>
              </w:rPr>
              <w:t xml:space="preserve">−1.5%</w:t>
            </w:r>
          </w:p>
        </w:tc>
      </w:tr>
      <w:tr>
        <w:trPr>
          <w:tblHeader w:val="off"/>
        </w:trPr>
        <w:tc>
          <w:tcPr>
            <w:tcW w:type="dxa" w:w="224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Client</w:t>
            </w:r>
          </w:p>
        </w:tc>
        <w:tc>
          <w:tcPr>
            <w:tcW w:type="dxa" w:w="168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6,599</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95.39</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130.71</w:t>
            </w:r>
          </w:p>
        </w:tc>
        <w:tc>
          <w:tcPr>
            <w:tcW w:type="dxa" w:w="131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w:t>
            </w:r>
          </w:p>
        </w:tc>
        <w:tc>
          <w:tcPr>
            <w:tcW w:type="dxa" w:w="18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w:t>
            </w:r>
          </w:p>
        </w:tc>
      </w:tr>
    </w:tbl>
    <w:p>
      <w:pPr>
        <w:spacing w:after="160"/>
      </w:pPr>
    </w:p>
    <w:p>
      <w:pPr>
        <w:pStyle w:val="Heading2"/>
        <w:spacing w:after="120" w:before="220"/>
      </w:pPr>
      <w:r>
        <w:rPr>
          <w:i w:val="false"/>
          <w:iCs w:val="false"/>
        </w:rPr>
        <w:t xml:space="preserve">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684"/>
        <w:gridCol w:w="1123"/>
        <w:gridCol w:w="1123"/>
        <w:gridCol w:w="1310"/>
        <w:gridCol w:w="1874"/>
      </w:tblGrid>
      <w:tr>
        <w:trPr>
          <w:tblHeader/>
        </w:trPr>
        <w:tc>
          <w:tcPr>
            <w:tcW w:type="dxa" w:w="2246"/>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variant</w:t>
            </w:r>
          </w:p>
        </w:tc>
        <w:tc>
          <w:tcPr>
            <w:tcW w:type="dxa" w:w="1684"/>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customers</w:t>
            </w:r>
          </w:p>
        </w:tc>
        <w:tc>
          <w:tcPr>
            <w:tcW w:type="dxa" w:w="1123"/>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M0</w:t>
            </w:r>
          </w:p>
        </w:tc>
        <w:tc>
          <w:tcPr>
            <w:tcW w:type="dxa" w:w="1123"/>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M4</w:t>
            </w:r>
          </w:p>
        </w:tc>
        <w:tc>
          <w:tcPr>
            <w:tcW w:type="dxa" w:w="1310"/>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M0 diff</w:t>
            </w:r>
          </w:p>
        </w:tc>
        <w:tc>
          <w:tcPr>
            <w:tcW w:type="dxa" w:w="1874"/>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M4 diff</w:t>
            </w:r>
          </w:p>
        </w:tc>
      </w:tr>
      <w:tr>
        <w:trPr>
          <w:tblHeader w:val="off"/>
        </w:trPr>
        <w:tc>
          <w:tcPr>
            <w:tcW w:type="dxa" w:w="224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Before</w:t>
            </w:r>
          </w:p>
        </w:tc>
        <w:tc>
          <w:tcPr>
            <w:tcW w:type="dxa" w:w="168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4,577</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101.02</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218.34</w:t>
            </w:r>
          </w:p>
        </w:tc>
        <w:tc>
          <w:tcPr>
            <w:tcW w:type="dxa" w:w="131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−1.5%</w:t>
            </w:r>
          </w:p>
        </w:tc>
        <w:tc>
          <w:tcPr>
            <w:tcW w:type="dxa" w:w="18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b/>
                <w:bCs/>
                <w:i w:val="false"/>
                <w:iCs w:val="false"/>
              </w:rPr>
              <w:t xml:space="preserve">−15.1%</w:t>
            </w:r>
          </w:p>
        </w:tc>
      </w:tr>
      <w:tr>
        <w:trPr>
          <w:tblHeader w:val="off"/>
        </w:trPr>
        <w:tc>
          <w:tcPr>
            <w:tcW w:type="dxa" w:w="224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After ch.1</w:t>
            </w:r>
          </w:p>
        </w:tc>
        <w:tc>
          <w:tcPr>
            <w:tcW w:type="dxa" w:w="168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4,577</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101.02</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255.93</w:t>
            </w:r>
          </w:p>
        </w:tc>
        <w:tc>
          <w:tcPr>
            <w:tcW w:type="dxa" w:w="131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−1.5%</w:t>
            </w:r>
          </w:p>
        </w:tc>
        <w:tc>
          <w:tcPr>
            <w:tcW w:type="dxa" w:w="18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b/>
                <w:bCs/>
                <w:i w:val="false"/>
                <w:iCs w:val="false"/>
              </w:rPr>
              <w:t xml:space="preserve">−0.5%</w:t>
            </w:r>
          </w:p>
        </w:tc>
      </w:tr>
      <w:tr>
        <w:trPr>
          <w:tblHeader w:val="off"/>
        </w:trPr>
        <w:tc>
          <w:tcPr>
            <w:tcW w:type="dxa" w:w="224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After ch.1+2</w:t>
            </w:r>
          </w:p>
        </w:tc>
        <w:tc>
          <w:tcPr>
            <w:tcW w:type="dxa" w:w="168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4,577</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101.02</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255.93</w:t>
            </w:r>
          </w:p>
        </w:tc>
        <w:tc>
          <w:tcPr>
            <w:tcW w:type="dxa" w:w="131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−1.5%</w:t>
            </w:r>
          </w:p>
        </w:tc>
        <w:tc>
          <w:tcPr>
            <w:tcW w:type="dxa" w:w="18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−0.5%</w:t>
            </w:r>
          </w:p>
        </w:tc>
      </w:tr>
      <w:tr>
        <w:trPr>
          <w:tblHeader w:val="off"/>
        </w:trPr>
        <w:tc>
          <w:tcPr>
            <w:tcW w:type="dxa" w:w="224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Client</w:t>
            </w:r>
          </w:p>
        </w:tc>
        <w:tc>
          <w:tcPr>
            <w:tcW w:type="dxa" w:w="168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4,608</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102.59</w:t>
            </w:r>
          </w:p>
        </w:tc>
        <w:tc>
          <w:tcPr>
            <w:tcW w:type="dxa" w:w="11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257.28</w:t>
            </w:r>
          </w:p>
        </w:tc>
        <w:tc>
          <w:tcPr>
            <w:tcW w:type="dxa" w:w="131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w:t>
            </w:r>
          </w:p>
        </w:tc>
        <w:tc>
          <w:tcPr>
            <w:tcW w:type="dxa" w:w="18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w:t>
            </w:r>
          </w:p>
        </w:tc>
      </w:tr>
    </w:tbl>
    <w:p>
      <w:pPr>
        <w:spacing w:after="160"/>
      </w:pPr>
    </w:p>
    <w:p>
      <w:pPr>
        <w:spacing w:after="140" w:before="0" w:line="276"/>
      </w:pPr>
      <w:r>
        <w:rPr>
          <w:i w:val="false"/>
          <w:iCs w:val="false"/>
        </w:rPr>
        <w:t xml:space="preserve">Faire does not touch Subscription — it is added entirely as OTP.</w:t>
      </w:r>
    </w:p>
    <w:p>
      <w:pPr>
        <w:pStyle w:val="Heading2"/>
        <w:spacing w:after="120" w:before="220"/>
      </w:pPr>
      <w:r>
        <w:rPr>
          <w:i w:val="false"/>
          <w:iCs w:val="false"/>
        </w:rPr>
        <w:t xml:space="preserve">All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9"/>
        <w:gridCol w:w="1792"/>
        <w:gridCol w:w="1194"/>
        <w:gridCol w:w="1194"/>
        <w:gridCol w:w="1394"/>
        <w:gridCol w:w="1397"/>
      </w:tblGrid>
      <w:tr>
        <w:trPr>
          <w:tblHeader/>
        </w:trPr>
        <w:tc>
          <w:tcPr>
            <w:tcW w:type="dxa" w:w="2389"/>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variant</w:t>
            </w:r>
          </w:p>
        </w:tc>
        <w:tc>
          <w:tcPr>
            <w:tcW w:type="dxa" w:w="1792"/>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customers</w:t>
            </w:r>
          </w:p>
        </w:tc>
        <w:tc>
          <w:tcPr>
            <w:tcW w:type="dxa" w:w="1194"/>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M0</w:t>
            </w:r>
          </w:p>
        </w:tc>
        <w:tc>
          <w:tcPr>
            <w:tcW w:type="dxa" w:w="1194"/>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M4</w:t>
            </w:r>
          </w:p>
        </w:tc>
        <w:tc>
          <w:tcPr>
            <w:tcW w:type="dxa" w:w="1394"/>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M0 diff</w:t>
            </w:r>
          </w:p>
        </w:tc>
        <w:tc>
          <w:tcPr>
            <w:tcW w:type="dxa" w:w="1397"/>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M4 diff</w:t>
            </w:r>
          </w:p>
        </w:tc>
      </w:tr>
      <w:tr>
        <w:trPr>
          <w:tblHeader w:val="off"/>
        </w:trPr>
        <w:tc>
          <w:tcPr>
            <w:tcW w:type="dxa" w:w="238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Before</w:t>
            </w:r>
          </w:p>
        </w:tc>
        <w:tc>
          <w:tcPr>
            <w:tcW w:type="dxa" w:w="1792"/>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11,220</w:t>
            </w:r>
          </w:p>
        </w:tc>
        <w:tc>
          <w:tcPr>
            <w:tcW w:type="dxa" w:w="119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97.46</w:t>
            </w:r>
          </w:p>
        </w:tc>
        <w:tc>
          <w:tcPr>
            <w:tcW w:type="dxa" w:w="119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176.79</w:t>
            </w:r>
          </w:p>
        </w:tc>
        <w:tc>
          <w:tcPr>
            <w:tcW w:type="dxa" w:w="139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−0.9%</w:t>
            </w:r>
          </w:p>
        </w:tc>
        <w:tc>
          <w:tcPr>
            <w:tcW w:type="dxa" w:w="1397"/>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−3.3%</w:t>
            </w:r>
          </w:p>
        </w:tc>
      </w:tr>
      <w:tr>
        <w:trPr>
          <w:tblHeader w:val="off"/>
        </w:trPr>
        <w:tc>
          <w:tcPr>
            <w:tcW w:type="dxa" w:w="238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After ch.1</w:t>
            </w:r>
          </w:p>
        </w:tc>
        <w:tc>
          <w:tcPr>
            <w:tcW w:type="dxa" w:w="1792"/>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11,220</w:t>
            </w:r>
          </w:p>
        </w:tc>
        <w:tc>
          <w:tcPr>
            <w:tcW w:type="dxa" w:w="119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97.46</w:t>
            </w:r>
          </w:p>
        </w:tc>
        <w:tc>
          <w:tcPr>
            <w:tcW w:type="dxa" w:w="119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176.79</w:t>
            </w:r>
          </w:p>
        </w:tc>
        <w:tc>
          <w:tcPr>
            <w:tcW w:type="dxa" w:w="139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−0.9%</w:t>
            </w:r>
          </w:p>
        </w:tc>
        <w:tc>
          <w:tcPr>
            <w:tcW w:type="dxa" w:w="1397"/>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−3.3%</w:t>
            </w:r>
          </w:p>
        </w:tc>
      </w:tr>
      <w:tr>
        <w:trPr>
          <w:tblHeader w:val="off"/>
        </w:trPr>
        <w:tc>
          <w:tcPr>
            <w:tcW w:type="dxa" w:w="238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After ch.1+2</w:t>
            </w:r>
          </w:p>
        </w:tc>
        <w:tc>
          <w:tcPr>
            <w:tcW w:type="dxa" w:w="1792"/>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11,253</w:t>
            </w:r>
          </w:p>
        </w:tc>
        <w:tc>
          <w:tcPr>
            <w:tcW w:type="dxa" w:w="119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98.68</w:t>
            </w:r>
          </w:p>
        </w:tc>
        <w:tc>
          <w:tcPr>
            <w:tcW w:type="dxa" w:w="119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180.50</w:t>
            </w:r>
          </w:p>
        </w:tc>
        <w:tc>
          <w:tcPr>
            <w:tcW w:type="dxa" w:w="139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+0.3%</w:t>
            </w:r>
          </w:p>
        </w:tc>
        <w:tc>
          <w:tcPr>
            <w:tcW w:type="dxa" w:w="1397"/>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−1.2%</w:t>
            </w:r>
          </w:p>
        </w:tc>
      </w:tr>
      <w:tr>
        <w:trPr>
          <w:tblHeader w:val="off"/>
        </w:trPr>
        <w:tc>
          <w:tcPr>
            <w:tcW w:type="dxa" w:w="238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Client</w:t>
            </w:r>
          </w:p>
        </w:tc>
        <w:tc>
          <w:tcPr>
            <w:tcW w:type="dxa" w:w="1792"/>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11,207</w:t>
            </w:r>
          </w:p>
        </w:tc>
        <w:tc>
          <w:tcPr>
            <w:tcW w:type="dxa" w:w="119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98.35</w:t>
            </w:r>
          </w:p>
        </w:tc>
        <w:tc>
          <w:tcPr>
            <w:tcW w:type="dxa" w:w="119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182.75</w:t>
            </w:r>
          </w:p>
        </w:tc>
        <w:tc>
          <w:tcPr>
            <w:tcW w:type="dxa" w:w="139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w:t>
            </w:r>
          </w:p>
        </w:tc>
        <w:tc>
          <w:tcPr>
            <w:tcW w:type="dxa" w:w="1397"/>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w:t>
            </w:r>
          </w:p>
        </w:tc>
      </w:tr>
    </w:tbl>
    <w:p>
      <w:pPr>
        <w:spacing w:after="160"/>
      </w:pPr>
    </w:p>
    <w:p>
      <w:pPr>
        <w:spacing w:after="140" w:before="0" w:line="276"/>
      </w:pPr>
      <w:r>
        <w:rPr>
          <w:i w:val="false"/>
          <w:iCs w:val="false"/>
        </w:rPr>
        <w:t xml:space="preserve">Change 1 leaves the total untouched, exactly as designed — it only moves money between buckets. All of the total movement comes from Faire.</w:t>
      </w:r>
    </w:p>
    <w:p>
      <w:pPr>
        <w:pBdr>
          <w:left w:val="single" w:color="A1A1AA" w:sz="12" w:space="8"/>
        </w:pBdr>
        <w:spacing w:after="160" w:before="60" w:line="264"/>
        <w:ind w:left="360"/>
      </w:pPr>
      <w:r>
        <w:rPr>
          <w:rFonts w:ascii="Consolas" w:cs="Consolas" w:eastAsia="Consolas" w:hAnsi="Consolas"/>
          <w:i w:val="false"/>
          <w:iCs w:val="false"/>
          <w:color w:val="52525B"/>
          <w:sz w:val="17"/>
          <w:szCs w:val="17"/>
        </w:rPr>
        <w:t xml:space="preserve">sql/06a_march_three_steps.sql</w:t>
      </w:r>
      <w:r>
        <w:rPr>
          <w:i w:val="false"/>
          <w:iCs w:val="false"/>
          <w:color w:val="52525B"/>
          <w:sz w:val="19"/>
          <w:szCs w:val="19"/>
        </w:rPr>
        <w:t xml:space="preserve"> · 12 rows · </w:t>
      </w:r>
      <w:r>
        <w:rPr>
          <w:rFonts w:ascii="Consolas" w:cs="Consolas" w:eastAsia="Consolas" w:hAnsi="Consolas"/>
          <w:i w:val="false"/>
          <w:iCs w:val="false"/>
          <w:color w:val="52525B"/>
          <w:sz w:val="17"/>
          <w:szCs w:val="17"/>
        </w:rPr>
        <w:t xml:space="preserve">exports/march_three_steps.csv</w:t>
      </w:r>
    </w:p>
    <w:p>
      <w:pPr>
        <w:pStyle w:val="Heading2"/>
        <w:spacing w:after="120" w:before="220"/>
      </w:pPr>
      <w:r>
        <w:rPr>
          <w:i w:val="false"/>
          <w:iCs w:val="false"/>
        </w:rPr>
        <w:t xml:space="preserve">Every cohort, at its latest available month</w:t>
      </w:r>
    </w:p>
    <w:p>
      <w:pPr>
        <w:spacing w:after="140" w:before="0" w:line="276"/>
      </w:pPr>
      <w:r>
        <w:rPr>
          <w:i w:val="false"/>
          <w:iCs w:val="false"/>
        </w:rPr>
        <w:t xml:space="preserve">Max |diff| across both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74"/>
        <w:gridCol w:w="3566"/>
      </w:tblGrid>
      <w:tr>
        <w:trPr>
          <w:tblHeader/>
        </w:trPr>
        <w:tc>
          <w:tcPr>
            <w:tcW w:type="dxa" w:w="3120"/>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cohort</w:t>
            </w:r>
          </w:p>
        </w:tc>
        <w:tc>
          <w:tcPr>
            <w:tcW w:type="dxa" w:w="2674"/>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before</w:t>
            </w:r>
          </w:p>
        </w:tc>
        <w:tc>
          <w:tcPr>
            <w:tcW w:type="dxa" w:w="3566"/>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after</w:t>
            </w:r>
          </w:p>
        </w:tc>
      </w:tr>
      <w:tr>
        <w:trPr>
          <w:tblHeader w:val="off"/>
        </w:trPr>
        <w:tc>
          <w:tcPr>
            <w:tcW w:type="dxa" w:w="312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2025-09</w:t>
            </w:r>
          </w:p>
        </w:tc>
        <w:tc>
          <w:tcPr>
            <w:tcW w:type="dxa" w:w="26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51.1%</w:t>
            </w:r>
          </w:p>
        </w:tc>
        <w:tc>
          <w:tcPr>
            <w:tcW w:type="dxa" w:w="356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b/>
                <w:bCs/>
                <w:i w:val="false"/>
                <w:iCs w:val="false"/>
              </w:rPr>
              <w:t xml:space="preserve">1.3%</w:t>
            </w:r>
          </w:p>
        </w:tc>
      </w:tr>
      <w:tr>
        <w:trPr>
          <w:tblHeader w:val="off"/>
        </w:trPr>
        <w:tc>
          <w:tcPr>
            <w:tcW w:type="dxa" w:w="312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2025-10</w:t>
            </w:r>
          </w:p>
        </w:tc>
        <w:tc>
          <w:tcPr>
            <w:tcW w:type="dxa" w:w="26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40.7%</w:t>
            </w:r>
          </w:p>
        </w:tc>
        <w:tc>
          <w:tcPr>
            <w:tcW w:type="dxa" w:w="356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1.7%</w:t>
            </w:r>
          </w:p>
        </w:tc>
      </w:tr>
      <w:tr>
        <w:trPr>
          <w:tblHeader w:val="off"/>
        </w:trPr>
        <w:tc>
          <w:tcPr>
            <w:tcW w:type="dxa" w:w="312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2025-11</w:t>
            </w:r>
          </w:p>
        </w:tc>
        <w:tc>
          <w:tcPr>
            <w:tcW w:type="dxa" w:w="26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34.0%</w:t>
            </w:r>
          </w:p>
        </w:tc>
        <w:tc>
          <w:tcPr>
            <w:tcW w:type="dxa" w:w="356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1.8%</w:t>
            </w:r>
          </w:p>
        </w:tc>
      </w:tr>
      <w:tr>
        <w:trPr>
          <w:tblHeader w:val="off"/>
        </w:trPr>
        <w:tc>
          <w:tcPr>
            <w:tcW w:type="dxa" w:w="312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2025-12</w:t>
            </w:r>
          </w:p>
        </w:tc>
        <w:tc>
          <w:tcPr>
            <w:tcW w:type="dxa" w:w="26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34.3%</w:t>
            </w:r>
          </w:p>
        </w:tc>
        <w:tc>
          <w:tcPr>
            <w:tcW w:type="dxa" w:w="356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1.2%</w:t>
            </w:r>
          </w:p>
        </w:tc>
      </w:tr>
      <w:tr>
        <w:trPr>
          <w:tblHeader w:val="off"/>
        </w:trPr>
        <w:tc>
          <w:tcPr>
            <w:tcW w:type="dxa" w:w="312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2026-01</w:t>
            </w:r>
          </w:p>
        </w:tc>
        <w:tc>
          <w:tcPr>
            <w:tcW w:type="dxa" w:w="26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26.4%</w:t>
            </w:r>
          </w:p>
        </w:tc>
        <w:tc>
          <w:tcPr>
            <w:tcW w:type="dxa" w:w="356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0.9%</w:t>
            </w:r>
          </w:p>
        </w:tc>
      </w:tr>
      <w:tr>
        <w:trPr>
          <w:tblHeader w:val="off"/>
        </w:trPr>
        <w:tc>
          <w:tcPr>
            <w:tcW w:type="dxa" w:w="312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2026-02</w:t>
            </w:r>
          </w:p>
        </w:tc>
        <w:tc>
          <w:tcPr>
            <w:tcW w:type="dxa" w:w="26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23.8%</w:t>
            </w:r>
          </w:p>
        </w:tc>
        <w:tc>
          <w:tcPr>
            <w:tcW w:type="dxa" w:w="356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2.7%</w:t>
            </w:r>
          </w:p>
        </w:tc>
      </w:tr>
      <w:tr>
        <w:trPr>
          <w:tblHeader w:val="off"/>
        </w:trPr>
        <w:tc>
          <w:tcPr>
            <w:tcW w:type="dxa" w:w="312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2026-03</w:t>
            </w:r>
          </w:p>
        </w:tc>
        <w:tc>
          <w:tcPr>
            <w:tcW w:type="dxa" w:w="26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15.1%</w:t>
            </w:r>
          </w:p>
        </w:tc>
        <w:tc>
          <w:tcPr>
            <w:tcW w:type="dxa" w:w="356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1.5%</w:t>
            </w:r>
          </w:p>
        </w:tc>
      </w:tr>
      <w:tr>
        <w:trPr>
          <w:tblHeader w:val="off"/>
        </w:trPr>
        <w:tc>
          <w:tcPr>
            <w:tcW w:type="dxa" w:w="312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2026-04</w:t>
            </w:r>
          </w:p>
        </w:tc>
        <w:tc>
          <w:tcPr>
            <w:tcW w:type="dxa" w:w="26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16.2%</w:t>
            </w:r>
          </w:p>
        </w:tc>
        <w:tc>
          <w:tcPr>
            <w:tcW w:type="dxa" w:w="356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b/>
                <w:bCs/>
                <w:i w:val="false"/>
                <w:iCs w:val="false"/>
              </w:rPr>
              <w:t xml:space="preserve">3.6%</w:t>
            </w:r>
          </w:p>
        </w:tc>
      </w:tr>
      <w:tr>
        <w:trPr>
          <w:tblHeader w:val="off"/>
        </w:trPr>
        <w:tc>
          <w:tcPr>
            <w:tcW w:type="dxa" w:w="312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2026-05</w:t>
            </w:r>
          </w:p>
        </w:tc>
        <w:tc>
          <w:tcPr>
            <w:tcW w:type="dxa" w:w="26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5.0%</w:t>
            </w:r>
          </w:p>
        </w:tc>
        <w:tc>
          <w:tcPr>
            <w:tcW w:type="dxa" w:w="356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1.5%</w:t>
            </w:r>
          </w:p>
        </w:tc>
      </w:tr>
      <w:tr>
        <w:trPr>
          <w:tblHeader w:val="off"/>
        </w:trPr>
        <w:tc>
          <w:tcPr>
            <w:tcW w:type="dxa" w:w="312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2026-06</w:t>
            </w:r>
          </w:p>
        </w:tc>
        <w:tc>
          <w:tcPr>
            <w:tcW w:type="dxa" w:w="26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5.4%</w:t>
            </w:r>
          </w:p>
        </w:tc>
        <w:tc>
          <w:tcPr>
            <w:tcW w:type="dxa" w:w="356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1.1%</w:t>
            </w:r>
          </w:p>
        </w:tc>
      </w:tr>
      <w:tr>
        <w:trPr>
          <w:tblHeader w:val="off"/>
        </w:trPr>
        <w:tc>
          <w:tcPr>
            <w:tcW w:type="dxa" w:w="312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2026-07</w:t>
            </w:r>
          </w:p>
        </w:tc>
        <w:tc>
          <w:tcPr>
            <w:tcW w:type="dxa" w:w="26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1.2%</w:t>
            </w:r>
          </w:p>
        </w:tc>
        <w:tc>
          <w:tcPr>
            <w:tcW w:type="dxa" w:w="356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1.4%</w:t>
            </w:r>
          </w:p>
        </w:tc>
      </w:tr>
    </w:tbl>
    <w:p>
      <w:pPr>
        <w:spacing w:after="160"/>
      </w:pPr>
    </w:p>
    <w:p>
      <w:pPr>
        <w:pBdr>
          <w:left w:val="single" w:color="A1A1AA" w:sz="12" w:space="8"/>
        </w:pBdr>
        <w:spacing w:after="160" w:before="60" w:line="264"/>
        <w:ind w:left="360"/>
      </w:pPr>
      <w:r>
        <w:rPr>
          <w:rFonts w:ascii="Consolas" w:cs="Consolas" w:eastAsia="Consolas" w:hAnsi="Consolas"/>
          <w:i w:val="false"/>
          <w:iCs w:val="false"/>
          <w:color w:val="52525B"/>
          <w:sz w:val="17"/>
          <w:szCs w:val="17"/>
        </w:rPr>
        <w:t xml:space="preserve">sql/06b_all_cohorts_latest.sql</w:t>
      </w:r>
      <w:r>
        <w:rPr>
          <w:i w:val="false"/>
          <w:iCs w:val="false"/>
          <w:color w:val="52525B"/>
          <w:sz w:val="19"/>
          <w:szCs w:val="19"/>
        </w:rPr>
        <w:t xml:space="preserve"> · 33 rows · </w:t>
      </w:r>
      <w:r>
        <w:rPr>
          <w:rFonts w:ascii="Consolas" w:cs="Consolas" w:eastAsia="Consolas" w:hAnsi="Consolas"/>
          <w:i w:val="false"/>
          <w:iCs w:val="false"/>
          <w:color w:val="52525B"/>
          <w:sz w:val="17"/>
          <w:szCs w:val="17"/>
        </w:rPr>
        <w:t xml:space="preserve">exports/all_cohorts_latest_month.csv</w:t>
      </w:r>
    </w:p>
    <w:p>
      <w:pPr>
        <w:pBdr>
          <w:bottom w:val="single" w:color="D4D4D8" w:sz="6" w:space="1"/>
        </w:pBdr>
        <w:spacing w:after="200" w:before="80"/>
      </w:pPr>
    </w:p>
    <w:p>
      <w:pPr>
        <w:pStyle w:val="Heading1"/>
        <w:spacing w:after="120" w:before="320"/>
      </w:pPr>
      <w:r>
        <w:rPr>
          <w:i w:val="false"/>
          <w:iCs w:val="false"/>
        </w:rPr>
        <w:t xml:space="preserve">7. Ruled out — and the number that killed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1"/>
        <w:gridCol w:w="5299"/>
      </w:tblGrid>
      <w:tr>
        <w:trPr>
          <w:tblHeader/>
        </w:trPr>
        <w:tc>
          <w:tcPr>
            <w:tcW w:type="dxa" w:w="4061"/>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hypothesis</w:t>
            </w:r>
          </w:p>
        </w:tc>
        <w:tc>
          <w:tcPr>
            <w:tcW w:type="dxa" w:w="5299"/>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killed by</w:t>
            </w:r>
          </w:p>
        </w:tc>
      </w:tr>
      <w:tr>
        <w:trPr>
          <w:tblHeader w:val="off"/>
        </w:trPr>
        <w:tc>
          <w:tcPr>
            <w:tcW w:type="dxa" w:w="4061"/>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Acquisition misclassification (the "548" list)</w:t>
            </w:r>
          </w:p>
        </w:tc>
        <w:tc>
          <w:tcPr>
            <w:tcW w:type="dxa" w:w="529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470 of the 548 were </w:t>
            </w:r>
            <w:r>
              <w:rPr>
                <w:i/>
                <w:iCs/>
              </w:rPr>
              <w:t xml:space="preserve">already</w:t>
            </w:r>
            <w:r>
              <w:rPr>
                <w:i w:val="false"/>
                <w:iCs w:val="false"/>
              </w:rPr>
              <w:t xml:space="preserve"> Subscription in live data; only 78 would move. The list was built on </w:t>
            </w:r>
            <w:r>
              <w:rPr>
                <w:rFonts w:ascii="Consolas" w:cs="Consolas" w:eastAsia="Consolas" w:hAnsi="Consolas"/>
                <w:i w:val="false"/>
                <w:iCs w:val="false"/>
                <w:sz w:val="17"/>
                <w:szCs w:val="17"/>
              </w:rPr>
              <w:t xml:space="preserve">cohorts_main_shopify</w:t>
            </w:r>
            <w:r>
              <w:rPr>
                <w:i w:val="false"/>
                <w:iCs w:val="false"/>
              </w:rPr>
              <w:t xml:space="preserve">, not the dashboard model, which is why it never reconciled.</w:t>
            </w:r>
          </w:p>
        </w:tc>
      </w:tr>
      <w:tr>
        <w:trPr>
          <w:tblHeader w:val="off"/>
        </w:trPr>
        <w:tc>
          <w:tcPr>
            <w:tcW w:type="dxa" w:w="4061"/>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Missing subscription orders / Skio migration</w:t>
            </w:r>
          </w:p>
        </w:tc>
        <w:tc>
          <w:tcPr>
            <w:tcW w:type="dxa" w:w="529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Total cohort revenue is within ~1% of the client's. A missing-data cause predicts a large total shortfall; there isn't one.</w:t>
            </w:r>
          </w:p>
        </w:tc>
      </w:tr>
      <w:tr>
        <w:trPr>
          <w:tblHeader w:val="off"/>
        </w:trPr>
        <w:tc>
          <w:tcPr>
            <w:tcW w:type="dxa" w:w="4061"/>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Seeding / influencer gifts</w:t>
            </w:r>
          </w:p>
        </w:tc>
        <w:tc>
          <w:tcPr>
            <w:tcW w:type="dxa" w:w="529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Every variant overshot: removed 626–1,338 customers against +51 of excess.</w:t>
            </w:r>
          </w:p>
        </w:tc>
      </w:tr>
      <w:tr>
        <w:trPr>
          <w:tblHeader w:val="off"/>
        </w:trPr>
        <w:tc>
          <w:tcPr>
            <w:tcW w:type="dxa" w:w="4061"/>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Draft orders</w:t>
            </w:r>
          </w:p>
        </w:tc>
        <w:tc>
          <w:tcPr>
            <w:tcW w:type="dxa" w:w="529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73% are $0, 98% carry a discount code, 2,514 of 2,674 recent draft-only customers are seeding recipients. Not DTC buyers.</w:t>
            </w:r>
          </w:p>
        </w:tc>
      </w:tr>
      <w:tr>
        <w:trPr>
          <w:tblHeader w:val="off"/>
        </w:trPr>
        <w:tc>
          <w:tcPr>
            <w:tcW w:type="dxa" w:w="4061"/>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Faire as a separate </w:t>
            </w:r>
            <w:r>
              <w:rPr>
                <w:i/>
                <w:iCs/>
              </w:rPr>
              <w:t xml:space="preserve">channel</w:t>
            </w:r>
          </w:p>
        </w:tc>
        <w:tc>
          <w:tcPr>
            <w:tcW w:type="dxa" w:w="529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No Faire channel exists in </w:t>
            </w:r>
            <w:r>
              <w:rPr>
                <w:rFonts w:ascii="Consolas" w:cs="Consolas" w:eastAsia="Consolas" w:hAnsi="Consolas"/>
                <w:i w:val="false"/>
                <w:iCs w:val="false"/>
                <w:sz w:val="17"/>
                <w:szCs w:val="17"/>
              </w:rPr>
              <w:t xml:space="preserve">LineItemMaster</w:t>
            </w:r>
            <w:r>
              <w:rPr>
                <w:i w:val="false"/>
                <w:iCs w:val="false"/>
              </w:rPr>
              <w:t xml:space="preserve"> — only Shopify and Amazon. Faire is excluded upstream, not mis-channelled.</w:t>
            </w:r>
          </w:p>
        </w:tc>
      </w:tr>
      <w:tr>
        <w:trPr>
          <w:tblHeader w:val="off"/>
        </w:trPr>
        <w:tc>
          <w:tcPr>
            <w:tcW w:type="dxa" w:w="4061"/>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Walmart / </w:t>
            </w:r>
            <w:r>
              <w:rPr>
                <w:rFonts w:ascii="Consolas" w:cs="Consolas" w:eastAsia="Consolas" w:hAnsi="Consolas"/>
                <w:i w:val="false"/>
                <w:iCs w:val="false"/>
                <w:sz w:val="17"/>
                <w:szCs w:val="17"/>
              </w:rPr>
              <w:t xml:space="preserve">88312</w:t>
            </w:r>
            <w:r>
              <w:rPr>
                <w:i w:val="false"/>
                <w:iCs w:val="false"/>
              </w:rPr>
              <w:t xml:space="preserve"> dropped by a platform filter</w:t>
            </w:r>
          </w:p>
        </w:tc>
        <w:tc>
          <w:tcPr>
            <w:tcW w:type="dxa" w:w="529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Both carry </w:t>
            </w:r>
            <w:r>
              <w:rPr>
                <w:rFonts w:ascii="Consolas" w:cs="Consolas" w:eastAsia="Consolas" w:hAnsi="Consolas"/>
                <w:i w:val="false"/>
                <w:iCs w:val="false"/>
                <w:sz w:val="17"/>
                <w:szCs w:val="17"/>
              </w:rPr>
              <w:t xml:space="preserve">platform_name = 'Shopify'</w:t>
            </w:r>
            <w:r>
              <w:rPr>
                <w:i w:val="false"/>
                <w:iCs w:val="false"/>
              </w:rPr>
              <w:t xml:space="preserve"> and are fully present in </w:t>
            </w:r>
            <w:r>
              <w:rPr>
                <w:rFonts w:ascii="Consolas" w:cs="Consolas" w:eastAsia="Consolas" w:hAnsi="Consolas"/>
                <w:i w:val="false"/>
                <w:iCs w:val="false"/>
                <w:sz w:val="17"/>
                <w:szCs w:val="17"/>
              </w:rPr>
              <w:t xml:space="preserve">OrderLinesMaster</w:t>
            </w:r>
            <w:r>
              <w:rPr>
                <w:i w:val="false"/>
                <w:iCs w:val="false"/>
              </w:rPr>
              <w:t xml:space="preserve">.</w:t>
            </w:r>
          </w:p>
        </w:tc>
      </w:tr>
      <w:tr>
        <w:trPr>
          <w:tblHeader w:val="off"/>
        </w:trPr>
        <w:tc>
          <w:tcPr>
            <w:tcW w:type="dxa" w:w="4061"/>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$0-rule and Faire interacting</w:t>
            </w:r>
          </w:p>
        </w:tc>
        <w:tc>
          <w:tcPr>
            <w:tcW w:type="dxa" w:w="529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Zero overlap in every cohort.</w:t>
            </w:r>
          </w:p>
        </w:tc>
      </w:tr>
      <w:tr>
        <w:trPr>
          <w:tblHeader w:val="off"/>
        </w:trPr>
        <w:tc>
          <w:tcPr>
            <w:tcW w:type="dxa" w:w="4061"/>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Returns definition</w:t>
            </w:r>
          </w:p>
        </w:tc>
        <w:tc>
          <w:tcPr>
            <w:tcW w:type="dxa" w:w="529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The dashboard is net of returns; matching that moves March M0 from +1.42% to −0.04%.</w:t>
            </w:r>
          </w:p>
        </w:tc>
      </w:tr>
      <w:tr>
        <w:trPr>
          <w:tblHeader w:val="off"/>
        </w:trPr>
        <w:tc>
          <w:tcPr>
            <w:tcW w:type="dxa" w:w="4061"/>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Partial-month export for July</w:t>
            </w:r>
          </w:p>
        </w:tc>
        <w:tc>
          <w:tcPr>
            <w:tcW w:type="dxa" w:w="5299"/>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The 954 extra customers carry $3.57 each; a mid-month cut would remove customers worth the cohort average. June's M0→M1 increment is 95.7% of ours, so July was essentially complete.</w:t>
            </w:r>
          </w:p>
        </w:tc>
      </w:tr>
    </w:tbl>
    <w:p>
      <w:pPr>
        <w:spacing w:after="160"/>
      </w:pPr>
    </w:p>
    <w:p>
      <w:pPr>
        <w:pBdr>
          <w:bottom w:val="single" w:color="D4D4D8" w:sz="6" w:space="1"/>
        </w:pBdr>
        <w:spacing w:after="200" w:before="80"/>
      </w:pPr>
    </w:p>
    <w:p>
      <w:pPr>
        <w:pStyle w:val="Heading1"/>
        <w:spacing w:after="120" w:before="320"/>
      </w:pPr>
      <w:r>
        <w:rPr>
          <w:i w:val="false"/>
          <w:iCs w:val="false"/>
        </w:rPr>
        <w:t xml:space="preserve">8. Still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3"/>
        <w:gridCol w:w="2323"/>
        <w:gridCol w:w="3874"/>
      </w:tblGrid>
      <w:tr>
        <w:trPr>
          <w:tblHeader/>
        </w:trPr>
        <w:tc>
          <w:tcPr>
            <w:tcW w:type="dxa" w:w="3163"/>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item</w:t>
            </w:r>
          </w:p>
        </w:tc>
        <w:tc>
          <w:tcPr>
            <w:tcW w:type="dxa" w:w="2323"/>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size</w:t>
            </w:r>
          </w:p>
        </w:tc>
        <w:tc>
          <w:tcPr>
            <w:tcW w:type="dxa" w:w="3874"/>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note</w:t>
            </w:r>
          </w:p>
        </w:tc>
      </w:tr>
      <w:tr>
        <w:trPr>
          <w:tblHeader w:val="off"/>
        </w:trPr>
        <w:tc>
          <w:tcPr>
            <w:tcW w:type="dxa" w:w="316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OTP/Subscription classification residual</w:t>
            </w:r>
          </w:p>
        </w:tc>
        <w:tc>
          <w:tcPr>
            <w:tcW w:type="dxa" w:w="23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~115 customers, </w:t>
            </w:r>
            <w:r>
              <w:rPr>
                <w:b/>
                <w:bCs/>
                <w:i w:val="false"/>
                <w:iCs w:val="false"/>
              </w:rPr>
              <w:t xml:space="preserve">0.10%</w:t>
            </w:r>
            <w:r>
              <w:rPr>
                <w:i w:val="false"/>
                <w:iCs w:val="false"/>
              </w:rPr>
              <w:t xml:space="preserve"> of base</w:t>
            </w:r>
          </w:p>
        </w:tc>
        <w:tc>
          <w:tcPr>
            <w:tcW w:type="dxa" w:w="38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+166 OTP / −115 Sub across the ten non-July cohorts. Not fixable by any exclusion rule.</w:t>
            </w:r>
          </w:p>
        </w:tc>
      </w:tr>
      <w:tr>
        <w:trPr>
          <w:tblHeader w:val="off"/>
        </w:trPr>
        <w:tc>
          <w:tcPr>
            <w:tcW w:type="dxa" w:w="316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Three cohorts short of the client</w:t>
            </w:r>
          </w:p>
        </w:tc>
        <w:tc>
          <w:tcPr>
            <w:tcW w:type="dxa" w:w="23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Sep-25 −25, Oct-25 −53, Feb-26 −60</w:t>
            </w:r>
          </w:p>
        </w:tc>
        <w:tc>
          <w:tcPr>
            <w:tcW w:type="dxa" w:w="38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To be short, the client must count customers we exclude. </w:t>
            </w:r>
            <w:r>
              <w:rPr>
                <w:rFonts w:ascii="Consolas" w:cs="Consolas" w:eastAsia="Consolas" w:hAnsi="Consolas"/>
                <w:i w:val="false"/>
                <w:iCs w:val="false"/>
                <w:sz w:val="17"/>
                <w:szCs w:val="17"/>
              </w:rPr>
              <w:t xml:space="preserve">is_gift_card</w:t>
            </w:r>
            <w:r>
              <w:rPr>
                <w:i w:val="false"/>
                <w:iCs w:val="false"/>
              </w:rPr>
              <w:t xml:space="preserve"> is the only untested exclusion that could do it. Feb's LTR error is flat at −2.7%, i.e. an offset not a drift.</w:t>
            </w:r>
          </w:p>
        </w:tc>
      </w:tr>
      <w:tr>
        <w:trPr>
          <w:tblHeader w:val="off"/>
        </w:trPr>
        <w:tc>
          <w:tcPr>
            <w:tcW w:type="dxa" w:w="316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465 of the 936 July customers have a second order</w:t>
            </w:r>
          </w:p>
        </w:tc>
        <w:tc>
          <w:tcPr>
            <w:tcW w:type="dxa" w:w="23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justification gap, not a numbers gap</w:t>
            </w:r>
          </w:p>
        </w:tc>
        <w:tc>
          <w:tcPr>
            <w:tcW w:type="dxa" w:w="38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Believed to be the promotion's </w:t>
            </w:r>
            <w:r>
              <w:rPr>
                <w:i/>
                <w:iCs/>
              </w:rPr>
              <w:t xml:space="preserve">second</w:t>
            </w:r>
            <w:r>
              <w:rPr>
                <w:i w:val="false"/>
                <w:iCs w:val="false"/>
              </w:rPr>
              <w:t xml:space="preserve"> free item — it had two products — rather than a real purchase. One query would confirm: how many of the 936 have any order with </w:t>
            </w:r>
            <w:r>
              <w:rPr>
                <w:rFonts w:ascii="Consolas" w:cs="Consolas" w:eastAsia="Consolas" w:hAnsi="Consolas"/>
                <w:i w:val="false"/>
                <w:iCs w:val="false"/>
                <w:sz w:val="17"/>
                <w:szCs w:val="17"/>
              </w:rPr>
              <w:t xml:space="preserve">total_price &gt; 0</w:t>
            </w:r>
            <w:r>
              <w:rPr>
                <w:i w:val="false"/>
                <w:iCs w:val="false"/>
              </w:rPr>
              <w:t xml:space="preserve">.</w:t>
            </w:r>
          </w:p>
        </w:tc>
      </w:tr>
      <w:tr>
        <w:trPr>
          <w:tblHeader w:val="off"/>
        </w:trPr>
        <w:tc>
          <w:tcPr>
            <w:tcW w:type="dxa" w:w="316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2026-04 at 3.6%</w:t>
            </w:r>
          </w:p>
        </w:tc>
        <w:tc>
          <w:tcPr>
            <w:tcW w:type="dxa" w:w="2323"/>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worst remaining cell</w:t>
            </w:r>
          </w:p>
        </w:tc>
        <w:tc>
          <w:tcPr>
            <w:tcW w:type="dxa" w:w="387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No investigation run.</w:t>
            </w:r>
          </w:p>
        </w:tc>
      </w:tr>
    </w:tbl>
    <w:p>
      <w:pPr>
        <w:spacing w:after="160"/>
      </w:pPr>
    </w:p>
    <w:p>
      <w:pPr>
        <w:pBdr>
          <w:bottom w:val="single" w:color="D4D4D8" w:sz="6" w:space="1"/>
        </w:pBdr>
        <w:spacing w:after="200" w:before="80"/>
      </w:pPr>
    </w:p>
    <w:p>
      <w:pPr>
        <w:pStyle w:val="Heading1"/>
        <w:spacing w:after="120" w:before="320"/>
      </w:pPr>
      <w:r>
        <w:rPr>
          <w:i w:val="false"/>
          <w:iCs w:val="false"/>
        </w:rPr>
        <w:t xml:space="preserve">9. Decisions we need to make</w:t>
      </w:r>
    </w:p>
    <w:p>
      <w:pPr>
        <w:pStyle w:val="ListParagraph"/>
        <w:numPr>
          <w:ilvl w:val="0"/>
          <w:numId w:val="2"/>
        </w:numPr>
        <w:spacing w:after="80" w:before="0" w:line="276"/>
      </w:pPr>
      <w:r>
        <w:rPr>
          <w:b/>
          <w:bCs/>
          <w:i w:val="false"/>
          <w:iCs w:val="false"/>
        </w:rPr>
        <w:t xml:space="preserve">Adopt the client's attribution rule, or keep ours and label the difference?</w:t>
      </w:r>
      <w:r>
        <w:rPr>
          <w:i w:val="false"/>
          <w:iCs w:val="false"/>
        </w:rPr>
        <w:t xml:space="preserve"> Ours is defensible — "this customer was acquired on OTP, here is their lifetime value" is a coherent metric. Theirs answers a different question. But we cannot publish a dashboard that disagrees with the client's by 15% and call it a definition difference without saying so explicitly.</w:t>
      </w:r>
    </w:p>
    <w:p>
      <w:pPr>
        <w:pStyle w:val="ListParagraph"/>
        <w:numPr>
          <w:ilvl w:val="0"/>
          <w:numId w:val="2"/>
        </w:numPr>
        <w:spacing w:after="80" w:before="0" w:line="276"/>
      </w:pPr>
      <w:r>
        <w:rPr>
          <w:b/>
          <w:bCs/>
          <w:i w:val="false"/>
          <w:iCs w:val="false"/>
        </w:rPr>
        <w:t xml:space="preserve">Do Faire wholesale retailers count as LTV customers?</w:t>
      </w:r>
      <w:r>
        <w:rPr>
          <w:i w:val="false"/>
          <w:iCs w:val="false"/>
        </w:rPr>
        <w:t xml:space="preserve"> The data says the client counts them. Wholesale was excluded from </w:t>
      </w:r>
      <w:r>
        <w:rPr>
          <w:rFonts w:ascii="Consolas" w:cs="Consolas" w:eastAsia="Consolas" w:hAnsi="Consolas"/>
          <w:i w:val="false"/>
          <w:iCs w:val="false"/>
          <w:sz w:val="17"/>
          <w:szCs w:val="17"/>
        </w:rPr>
        <w:t xml:space="preserve">OrderLinesMaster</w:t>
      </w:r>
      <w:r>
        <w:rPr>
          <w:i w:val="false"/>
          <w:iCs w:val="false"/>
        </w:rPr>
        <w:t xml:space="preserve"> on purpose. Removing </w:t>
      </w:r>
      <w:r>
        <w:rPr>
          <w:rFonts w:ascii="Consolas" w:cs="Consolas" w:eastAsia="Consolas" w:hAnsi="Consolas"/>
          <w:i w:val="false"/>
          <w:iCs w:val="false"/>
          <w:sz w:val="17"/>
          <w:szCs w:val="17"/>
        </w:rPr>
        <w:t xml:space="preserve">'faire'</w:t>
      </w:r>
      <w:r>
        <w:rPr>
          <w:i w:val="false"/>
          <w:iCs w:val="false"/>
        </w:rPr>
        <w:t xml:space="preserve"> from the exclusion list changes </w:t>
      </w:r>
      <w:r>
        <w:rPr>
          <w:b/>
          <w:bCs/>
          <w:i w:val="false"/>
          <w:iCs w:val="false"/>
        </w:rPr>
        <w:t xml:space="preserve">every</w:t>
      </w:r>
      <w:r>
        <w:rPr>
          <w:i w:val="false"/>
          <w:iCs w:val="false"/>
        </w:rPr>
        <w:t xml:space="preserve"> </w:t>
      </w:r>
      <w:r>
        <w:rPr>
          <w:rFonts w:ascii="Consolas" w:cs="Consolas" w:eastAsia="Consolas" w:hAnsi="Consolas"/>
          <w:i w:val="false"/>
          <w:iCs w:val="false"/>
          <w:sz w:val="17"/>
          <w:szCs w:val="17"/>
        </w:rPr>
        <w:t xml:space="preserve">OrderLinesMaster</w:t>
      </w:r>
      <w:r>
        <w:rPr>
          <w:i w:val="false"/>
          <w:iCs w:val="false"/>
        </w:rPr>
        <w:t xml:space="preserve"> consumer, not just cohorts. This is a decision for whoever owns PR #82, with this document attached.</w:t>
      </w:r>
    </w:p>
    <w:p>
      <w:pPr>
        <w:pStyle w:val="ListParagraph"/>
        <w:numPr>
          <w:ilvl w:val="0"/>
          <w:numId w:val="2"/>
        </w:numPr>
        <w:spacing w:after="80" w:before="0" w:line="276"/>
      </w:pPr>
      <w:r>
        <w:rPr>
          <w:b/>
          <w:bCs/>
          <w:i w:val="false"/>
          <w:iCs w:val="false"/>
        </w:rPr>
        <w:t xml:space="preserve">Is a $0 founding order an acquisition?</w:t>
      </w:r>
      <w:r>
        <w:rPr>
          <w:i w:val="false"/>
          <w:iCs w:val="false"/>
        </w:rPr>
        <w:t xml:space="preserve"> We say no. Worth stating once as policy rather than deciding it per-promotion.</w:t>
      </w:r>
    </w:p>
    <w:p>
      <w:pPr>
        <w:pBdr>
          <w:bottom w:val="single" w:color="D4D4D8" w:sz="6" w:space="1"/>
        </w:pBdr>
        <w:spacing w:after="200" w:before="80"/>
      </w:pPr>
    </w:p>
    <w:p>
      <w:pPr>
        <w:pStyle w:val="Heading1"/>
        <w:spacing w:after="120" w:before="320"/>
      </w:pPr>
      <w:r>
        <w:rPr>
          <w:i w:val="false"/>
          <w:iCs w:val="false"/>
        </w:rPr>
        <w:t xml:space="preserve">10. If the After logic is adopted</w:t>
      </w:r>
    </w:p>
    <w:p>
      <w:pPr>
        <w:spacing w:after="140" w:before="0" w:line="276"/>
      </w:pPr>
      <w:r>
        <w:rPr>
          <w:i w:val="false"/>
          <w:iCs w:val="false"/>
        </w:rPr>
        <w:t xml:space="preserve">Not implemented. Nothing in this investigation changed a model, a macro, or 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what changes</w:t>
            </w:r>
          </w:p>
        </w:tc>
        <w:tc>
          <w:tcPr>
            <w:tcW w:type="dxa" w:w="7200"/>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where</w:t>
            </w:r>
          </w:p>
        </w:tc>
      </w:tr>
      <w:tr>
        <w:trPr>
          <w:tblHeader w:val="off"/>
        </w:trPr>
        <w:tc>
          <w:tcPr>
            <w:tcW w:type="dxa" w:w="216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attribution rule</w:t>
            </w:r>
          </w:p>
        </w:tc>
        <w:tc>
          <w:tcPr>
            <w:tcW w:type="dxa" w:w="720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the cohort model's bucket assignment — currently acquisition-locked</w:t>
            </w:r>
          </w:p>
        </w:tc>
      </w:tr>
      <w:tr>
        <w:trPr>
          <w:tblHeader w:val="off"/>
        </w:trPr>
        <w:tc>
          <w:tcPr>
            <w:tcW w:type="dxa" w:w="216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Faire</w:t>
            </w:r>
          </w:p>
        </w:tc>
        <w:tc>
          <w:tcPr>
            <w:tcW w:type="dxa" w:w="720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shopify_revenue_bucket_excluded_channels</w:t>
            </w:r>
            <w:r>
              <w:rPr>
                <w:i w:val="false"/>
                <w:iCs w:val="false"/>
              </w:rPr>
              <w:t xml:space="preserve"> in </w:t>
            </w:r>
            <w:r>
              <w:rPr>
                <w:rFonts w:ascii="Consolas" w:cs="Consolas" w:eastAsia="Consolas" w:hAnsi="Consolas"/>
                <w:i w:val="false"/>
                <w:iCs w:val="false"/>
                <w:sz w:val="17"/>
                <w:szCs w:val="17"/>
              </w:rPr>
              <w:t xml:space="preserve">dbt_project.yml</w:t>
            </w:r>
            <w:r>
              <w:rPr>
                <w:i w:val="false"/>
                <w:iCs w:val="false"/>
              </w:rPr>
              <w:t xml:space="preserve">, or a cohort-level carve-out</w:t>
            </w:r>
          </w:p>
        </w:tc>
      </w:tr>
      <w:tr>
        <w:trPr>
          <w:tblHeader w:val="off"/>
        </w:trPr>
        <w:tc>
          <w:tcPr>
            <w:tcW w:type="dxa" w:w="216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$0 founding orders</w:t>
            </w:r>
          </w:p>
        </w:tc>
        <w:tc>
          <w:tcPr>
            <w:tcW w:type="dxa" w:w="7200"/>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a new condition in </w:t>
            </w:r>
            <w:r>
              <w:rPr>
                <w:rFonts w:ascii="Consolas" w:cs="Consolas" w:eastAsia="Consolas" w:hAnsi="Consolas"/>
                <w:i w:val="false"/>
                <w:iCs w:val="false"/>
                <w:sz w:val="17"/>
                <w:szCs w:val="17"/>
              </w:rPr>
              <w:t xml:space="preserve">shopify_passes_global_filter</w:t>
            </w:r>
            <w:r>
              <w:rPr>
                <w:i w:val="false"/>
                <w:iCs w:val="false"/>
              </w:rPr>
              <w:t xml:space="preserve">, </w:t>
            </w:r>
            <w:r>
              <w:rPr>
                <w:b/>
                <w:bCs/>
                <w:i w:val="false"/>
                <w:iCs w:val="false"/>
              </w:rPr>
              <w:t xml:space="preserve">scoped to the founding order</w:t>
            </w:r>
          </w:p>
        </w:tc>
      </w:tr>
    </w:tbl>
    <w:p>
      <w:pPr>
        <w:spacing w:after="160"/>
      </w:pPr>
    </w:p>
    <w:p>
      <w:pPr>
        <w:spacing w:after="140" w:before="0" w:line="276"/>
      </w:pPr>
      <w:r>
        <w:rPr>
          <w:b/>
          <w:bCs/>
          <w:i w:val="false"/>
          <w:iCs w:val="false"/>
        </w:rPr>
        <w:t xml:space="preserve">Downstream impact.</w:t>
      </w:r>
      <w:r>
        <w:rPr>
          <w:i w:val="false"/>
          <w:iCs w:val="false"/>
        </w:rPr>
        <w:t xml:space="preserve"> Unexcluding Faire touches every </w:t>
      </w:r>
      <w:r>
        <w:rPr>
          <w:rFonts w:ascii="Consolas" w:cs="Consolas" w:eastAsia="Consolas" w:hAnsi="Consolas"/>
          <w:i w:val="false"/>
          <w:iCs w:val="false"/>
          <w:sz w:val="17"/>
          <w:szCs w:val="17"/>
        </w:rPr>
        <w:t xml:space="preserve">OrderLinesMaster</w:t>
      </w:r>
      <w:r>
        <w:rPr>
          <w:i w:val="false"/>
          <w:iCs w:val="false"/>
        </w:rPr>
        <w:t xml:space="preserve"> consumer, not just cohorts. Scope that before changing it.</w:t>
      </w:r>
    </w:p>
    <w:p>
      <w:pPr>
        <w:spacing w:after="140" w:before="0" w:line="276"/>
      </w:pPr>
      <w:r>
        <w:rPr>
          <w:b/>
          <w:bCs/>
          <w:i w:val="false"/>
          <w:iCs w:val="false"/>
        </w:rPr>
        <w:t xml:space="preserve">Re-validation plan.</w:t>
      </w:r>
      <w:r>
        <w:rPr>
          <w:i w:val="false"/>
          <w:iCs w:val="false"/>
        </w:rPr>
        <w:t xml:space="preserve"> Re-run </w:t>
      </w:r>
      <w:r>
        <w:rPr>
          <w:rFonts w:ascii="Consolas" w:cs="Consolas" w:eastAsia="Consolas" w:hAnsi="Consolas"/>
          <w:i w:val="false"/>
          <w:iCs w:val="false"/>
          <w:sz w:val="17"/>
          <w:szCs w:val="17"/>
        </w:rPr>
        <w:t xml:space="preserve">sql/06b_all_cohorts_latest.sql</w:t>
      </w:r>
      <w:r>
        <w:rPr>
          <w:i w:val="false"/>
          <w:iCs w:val="false"/>
        </w:rPr>
        <w:t xml:space="preserve"> and confirm: customer counts unchanged by change 1; OTP + Subscription = All customers in every cell; total cohort LTR identical before and after change 1.</w:t>
      </w:r>
    </w:p>
    <w:p>
      <w:pPr>
        <w:spacing w:after="140" w:before="0" w:line="276"/>
      </w:pPr>
      <w:r>
        <w:rPr>
          <w:b/>
          <w:bCs/>
          <w:i w:val="false"/>
          <w:iCs w:val="false"/>
        </w:rPr>
        <w:t xml:space="preserve">Separate bug, not addressed here.</w:t>
      </w:r>
      <w:r>
        <w:rPr>
          <w:i w:val="false"/>
          <w:iCs w:val="false"/>
        </w:rPr>
        <w:t xml:space="preserve"> The original RCA identified that </w:t>
      </w:r>
      <w:r>
        <w:rPr>
          <w:rFonts w:ascii="Consolas" w:cs="Consolas" w:eastAsia="Consolas" w:hAnsi="Consolas"/>
          <w:i w:val="false"/>
          <w:iCs w:val="false"/>
          <w:sz w:val="17"/>
          <w:szCs w:val="17"/>
        </w:rPr>
        <w:t xml:space="preserve">fact_order_lines_shopify.is_subscription_order</w:t>
      </w:r>
      <w:r>
        <w:rPr>
          <w:i w:val="false"/>
          <w:iCs w:val="false"/>
        </w:rPr>
        <w:t xml:space="preserve"> resolves no </w:t>
      </w:r>
      <w:r>
        <w:rPr>
          <w:rFonts w:ascii="Consolas" w:cs="Consolas" w:eastAsia="Consolas" w:hAnsi="Consolas"/>
          <w:i w:val="false"/>
          <w:iCs w:val="false"/>
          <w:sz w:val="17"/>
          <w:szCs w:val="17"/>
        </w:rPr>
        <w:t xml:space="preserve">subscription_id</w:t>
      </w:r>
      <w:r>
        <w:rPr>
          <w:i w:val="false"/>
          <w:iCs w:val="false"/>
        </w:rPr>
        <w:t xml:space="preserve"> for a large share of tagged subscription orders, and that </w:t>
      </w:r>
      <w:r>
        <w:rPr>
          <w:rFonts w:ascii="Consolas" w:cs="Consolas" w:eastAsia="Consolas" w:hAnsi="Consolas"/>
          <w:i w:val="false"/>
          <w:iCs w:val="false"/>
          <w:sz w:val="17"/>
          <w:szCs w:val="17"/>
        </w:rPr>
        <w:t xml:space="preserve">dim_customer</w:t>
      </w:r>
      <w:r>
        <w:rPr>
          <w:i w:val="false"/>
          <w:iCs w:val="false"/>
        </w:rPr>
        <w:t xml:space="preserve"> consumes that flag with no fallback while </w:t>
      </w:r>
      <w:r>
        <w:rPr>
          <w:rFonts w:ascii="Consolas" w:cs="Consolas" w:eastAsia="Consolas" w:hAnsi="Consolas"/>
          <w:i w:val="false"/>
          <w:iCs w:val="false"/>
          <w:sz w:val="17"/>
          <w:szCs w:val="17"/>
        </w:rPr>
        <w:t xml:space="preserve">int_shopify_order_revenue_bucket</w:t>
      </w:r>
      <w:r>
        <w:rPr>
          <w:i w:val="false"/>
          <w:iCs w:val="false"/>
        </w:rPr>
        <w:t xml:space="preserve"> has one. That defect is real and worth fixing on its own merits — but it is </w:t>
      </w:r>
      <w:r>
        <w:rPr>
          <w:b/>
          <w:bCs/>
          <w:i w:val="false"/>
          <w:iCs w:val="false"/>
        </w:rPr>
        <w:t xml:space="preserve">not</w:t>
      </w:r>
      <w:r>
        <w:rPr>
          <w:i w:val="false"/>
          <w:iCs w:val="false"/>
        </w:rPr>
        <w:t xml:space="preserve"> the cause of the cohort LTR gap, as §7 shows. Fixing it will not move these numbers.</w:t>
      </w:r>
    </w:p>
    <w:p>
      <w:pPr>
        <w:pBdr>
          <w:bottom w:val="single" w:color="D4D4D8" w:sz="6" w:space="1"/>
        </w:pBdr>
        <w:spacing w:after="200" w:before="80"/>
      </w:pPr>
    </w:p>
    <w:p>
      <w:pPr>
        <w:pStyle w:val="Heading1"/>
        <w:spacing w:after="120" w:before="320"/>
      </w:pPr>
      <w:r>
        <w:rPr>
          <w:i w:val="false"/>
          <w:iCs w:val="false"/>
        </w:rPr>
        <w:t xml:space="preserve">11. Limitations — read before relying on this</w:t>
      </w:r>
    </w:p>
    <w:p>
      <w:pPr>
        <w:spacing w:after="140" w:before="0" w:line="276"/>
      </w:pPr>
      <w:r>
        <w:rPr>
          <w:i w:val="false"/>
          <w:iCs w:val="false"/>
        </w:rPr>
        <w:t xml:space="preserve">Two things the brief asked for that this document does not deliver, stated plainly rather than buried:</w:t>
      </w:r>
    </w:p>
    <w:p>
      <w:pPr>
        <w:pStyle w:val="ListParagraph"/>
        <w:numPr>
          <w:ilvl w:val="0"/>
          <w:numId w:val="2"/>
        </w:numPr>
        <w:spacing w:after="80" w:before="0" w:line="276"/>
      </w:pPr>
      <w:r>
        <w:rPr>
          <w:b/>
          <w:bCs/>
          <w:i w:val="false"/>
          <w:iCs w:val="false"/>
        </w:rPr>
        <w:t xml:space="preserve">Nothing was re-run today.</w:t>
      </w:r>
      <w:r>
        <w:rPr>
          <w:i w:val="false"/>
          <w:iCs w:val="false"/>
        </w:rPr>
        <w:t xml:space="preserve"> This session has no BigQuery access — no credentials, no </w:t>
      </w:r>
      <w:r>
        <w:rPr>
          <w:rFonts w:ascii="Consolas" w:cs="Consolas" w:eastAsia="Consolas" w:hAnsi="Consolas"/>
          <w:i w:val="false"/>
          <w:iCs w:val="false"/>
          <w:sz w:val="17"/>
          <w:szCs w:val="17"/>
        </w:rPr>
        <w:t xml:space="preserve">bq</w:t>
      </w:r>
      <w:r>
        <w:rPr>
          <w:i w:val="false"/>
          <w:iCs w:val="false"/>
        </w:rPr>
        <w:t xml:space="preserve"> client, no warehouse connector. Every number is carried forward from a query run earlier in the investigation, each named in the text. They were checked for internal consistency (bucket sums, totals, cross-run agreement) but not re-executed.</w:t>
      </w:r>
    </w:p>
    <w:p>
      <w:pPr>
        <w:pStyle w:val="ListParagraph"/>
        <w:numPr>
          <w:ilvl w:val="0"/>
          <w:numId w:val="2"/>
        </w:numPr>
        <w:spacing w:after="80" w:before="0" w:line="276"/>
      </w:pPr>
      <w:r>
        <w:rPr>
          <w:b/>
          <w:bCs/>
          <w:i w:val="false"/>
          <w:iCs w:val="false"/>
        </w:rPr>
        <w:t xml:space="preserve">No model SQL was read.</w:t>
      </w:r>
      <w:r>
        <w:rPr>
          <w:i w:val="false"/>
          <w:iCs w:val="false"/>
        </w:rPr>
        <w:t xml:space="preserve"> The dbt project (</w:t>
      </w:r>
      <w:r>
        <w:rPr>
          <w:rFonts w:ascii="Consolas" w:cs="Consolas" w:eastAsia="Consolas" w:hAnsi="Consolas"/>
          <w:i w:val="false"/>
          <w:iCs w:val="false"/>
          <w:sz w:val="17"/>
          <w:szCs w:val="17"/>
        </w:rPr>
        <w:t xml:space="preserve">sarasanalytics-com/equipfoods_5642_prod</w:t>
      </w:r>
      <w:r>
        <w:rPr>
          <w:i w:val="false"/>
          <w:iCs w:val="false"/>
        </w:rPr>
        <w:t xml:space="preserve">) is not accessible from this session — </w:t>
      </w:r>
      <w:r>
        <w:rPr>
          <w:rFonts w:ascii="Consolas" w:cs="Consolas" w:eastAsia="Consolas" w:hAnsi="Consolas"/>
          <w:i w:val="false"/>
          <w:iCs w:val="false"/>
          <w:sz w:val="17"/>
          <w:szCs w:val="17"/>
        </w:rPr>
        <w:t xml:space="preserve">add_repo</w:t>
      </w:r>
      <w:r>
        <w:rPr>
          <w:i w:val="false"/>
          <w:iCs w:val="false"/>
        </w:rPr>
        <w:t xml:space="preserve"> was attempted and refused. Every statement about model internals — the </w:t>
      </w:r>
      <w:r>
        <w:rPr>
          <w:rFonts w:ascii="Consolas" w:cs="Consolas" w:eastAsia="Consolas" w:hAnsi="Consolas"/>
          <w:i w:val="false"/>
          <w:iCs w:val="false"/>
          <w:sz w:val="17"/>
          <w:szCs w:val="17"/>
        </w:rPr>
        <w:t xml:space="preserve">dbt_project.yml</w:t>
      </w:r>
      <w:r>
        <w:rPr>
          <w:i w:val="false"/>
          <w:iCs w:val="false"/>
        </w:rPr>
        <w:t xml:space="preserve"> exclusion list, </w:t>
      </w:r>
      <w:r>
        <w:rPr>
          <w:rFonts w:ascii="Consolas" w:cs="Consolas" w:eastAsia="Consolas" w:hAnsi="Consolas"/>
          <w:i w:val="false"/>
          <w:iCs w:val="false"/>
          <w:sz w:val="17"/>
          <w:szCs w:val="17"/>
        </w:rPr>
        <w:t xml:space="preserve">shopify_passes_global_filter</w:t>
      </w:r>
      <w:r>
        <w:rPr>
          <w:i w:val="false"/>
          <w:iCs w:val="false"/>
        </w:rPr>
        <w:t xml:space="preserve">, </w:t>
      </w:r>
      <w:r>
        <w:rPr>
          <w:rFonts w:ascii="Consolas" w:cs="Consolas" w:eastAsia="Consolas" w:hAnsi="Consolas"/>
          <w:i w:val="false"/>
          <w:iCs w:val="false"/>
          <w:sz w:val="17"/>
          <w:szCs w:val="17"/>
        </w:rPr>
        <w:t xml:space="preserve">OrderLinesMaster.sql:240</w:t>
      </w:r>
      <w:r>
        <w:rPr>
          <w:i w:val="false"/>
          <w:iCs w:val="false"/>
        </w:rPr>
        <w:t xml:space="preserve">, PR #82 — comes from the DE agent's RCA, not from reading the files. Those claims are well-evidenced but second-hand.</w:t>
      </w:r>
    </w:p>
    <w:p>
      <w:pPr>
        <w:spacing w:after="140" w:before="0" w:line="276"/>
      </w:pPr>
      <w:r>
        <w:rPr>
          <w:i w:val="false"/>
          <w:iCs w:val="false"/>
        </w:rPr>
        <w:t xml:space="preserve">Consequently the brief's §3 bridge table (</w:t>
      </w:r>
      <w:r>
        <w:rPr>
          <w:rFonts w:ascii="Consolas" w:cs="Consolas" w:eastAsia="Consolas" w:hAnsi="Consolas"/>
          <w:i w:val="false"/>
          <w:iCs w:val="false"/>
          <w:sz w:val="17"/>
          <w:szCs w:val="17"/>
        </w:rPr>
        <w:t xml:space="preserve">LineItemMaster</w:t>
      </w:r>
      <w:r>
        <w:rPr>
          <w:i w:val="false"/>
          <w:iCs w:val="false"/>
        </w:rPr>
        <w:t xml:space="preserve"> reconciled to </w:t>
      </w:r>
      <w:r>
        <w:rPr>
          <w:rFonts w:ascii="Consolas" w:cs="Consolas" w:eastAsia="Consolas" w:hAnsi="Consolas"/>
          <w:i w:val="false"/>
          <w:iCs w:val="false"/>
          <w:sz w:val="17"/>
          <w:szCs w:val="17"/>
        </w:rPr>
        <w:t xml:space="preserve">OrderLinesMaster</w:t>
      </w:r>
      <w:r>
        <w:rPr>
          <w:i w:val="false"/>
          <w:iCs w:val="false"/>
        </w:rPr>
        <w:t xml:space="preserve">, reason by reason) is </w:t>
      </w:r>
      <w:r>
        <w:rPr>
          <w:b/>
          <w:bCs/>
          <w:i w:val="false"/>
          <w:iCs w:val="false"/>
        </w:rPr>
        <w:t xml:space="preserve">not</w:t>
      </w:r>
      <w:r>
        <w:rPr>
          <w:i w:val="false"/>
          <w:iCs w:val="false"/>
        </w:rPr>
        <w:t xml:space="preserve"> in this document. We know the size of the gap (3.73% vs 0.20% against the published dashboard) and we know three candidate causes, but we isolated none of them — see the correction in §3, which replaced an unsupported explanation I had given for it.</w:t>
      </w:r>
    </w:p>
    <w:p>
      <w:pPr>
        <w:spacing w:after="140" w:before="0" w:line="276"/>
      </w:pPr>
      <w:r>
        <w:rPr>
          <w:b/>
          <w:bCs/>
          <w:i w:val="false"/>
          <w:iCs w:val="false"/>
        </w:rPr>
        <w:t xml:space="preserve">Three exports asked for are not here.</w:t>
      </w:r>
      <w:r>
        <w:rPr>
          <w:i w:val="false"/>
          <w:iCs w:val="false"/>
        </w:rPr>
        <w:t xml:space="preserve"> </w:t>
      </w:r>
      <w:r>
        <w:rPr>
          <w:rFonts w:ascii="Consolas" w:cs="Consolas" w:eastAsia="Consolas" w:hAnsi="Consolas"/>
          <w:i w:val="false"/>
          <w:iCs w:val="false"/>
          <w:sz w:val="17"/>
          <w:szCs w:val="17"/>
        </w:rPr>
        <w:t xml:space="preserve">march_cohort_customer_level.csv</w:t>
      </w:r>
      <w:r>
        <w:rPr>
          <w:i w:val="false"/>
          <w:iCs w:val="false"/>
        </w:rPr>
        <w:t xml:space="preserve"> and </w:t>
      </w:r>
      <w:r>
        <w:rPr>
          <w:rFonts w:ascii="Consolas" w:cs="Consolas" w:eastAsia="Consolas" w:hAnsi="Consolas"/>
          <w:i w:val="false"/>
          <w:iCs w:val="false"/>
          <w:sz w:val="17"/>
          <w:szCs w:val="17"/>
        </w:rPr>
        <w:t xml:space="preserve">faire_retailers_march.csv</w:t>
      </w:r>
      <w:r>
        <w:rPr>
          <w:i w:val="false"/>
          <w:iCs w:val="false"/>
        </w:rPr>
        <w:t xml:space="preserve"> both need customer-level warehouse extracts that were never pulled into this session; </w:t>
      </w:r>
      <w:r>
        <w:rPr>
          <w:rFonts w:ascii="Consolas" w:cs="Consolas" w:eastAsia="Consolas" w:hAnsi="Consolas"/>
          <w:i w:val="false"/>
          <w:iCs w:val="false"/>
          <w:sz w:val="17"/>
          <w:szCs w:val="17"/>
        </w:rPr>
        <w:t xml:space="preserve">sql/08a_…</w:t>
      </w:r>
      <w:r>
        <w:rPr>
          <w:i w:val="false"/>
          <w:iCs w:val="false"/>
        </w:rPr>
        <w:t xml:space="preserve"> and </w:t>
      </w:r>
      <w:r>
        <w:rPr>
          <w:rFonts w:ascii="Consolas" w:cs="Consolas" w:eastAsia="Consolas" w:hAnsi="Consolas"/>
          <w:i w:val="false"/>
          <w:iCs w:val="false"/>
          <w:sz w:val="17"/>
          <w:szCs w:val="17"/>
        </w:rPr>
        <w:t xml:space="preserve">sql/08b_…</w:t>
      </w:r>
      <w:r>
        <w:rPr>
          <w:i w:val="false"/>
          <w:iCs w:val="false"/>
        </w:rPr>
        <w:t xml:space="preserve"> are the queries that produce them, written but unrun. </w:t>
      </w:r>
      <w:r>
        <w:rPr>
          <w:rFonts w:ascii="Consolas" w:cs="Consolas" w:eastAsia="Consolas" w:hAnsi="Consolas"/>
          <w:i w:val="false"/>
          <w:iCs w:val="false"/>
          <w:sz w:val="17"/>
          <w:szCs w:val="17"/>
        </w:rPr>
        <w:t xml:space="preserve">removed_60_customers.csv</w:t>
      </w:r>
      <w:r>
        <w:rPr>
          <w:i w:val="false"/>
          <w:iCs w:val="false"/>
        </w:rPr>
        <w:t xml:space="preserve"> is not produced at all — the 60 ids only ever existed inside a query pasted into chat and were never saved, and reconstructing them needs the client's customer list, which is not in BigQuery. Since the 60-id removal is validation-only and explicitly </w:t>
      </w:r>
      <w:r>
        <w:rPr>
          <w:b/>
          <w:bCs/>
          <w:i w:val="false"/>
          <w:iCs w:val="false"/>
        </w:rPr>
        <w:t xml:space="preserve">not</w:t>
      </w:r>
      <w:r>
        <w:rPr>
          <w:i w:val="false"/>
          <w:iCs w:val="false"/>
        </w:rPr>
        <w:t xml:space="preserve"> going into the dashboard (§5.4), this is the least costly of the three gaps.</w:t>
      </w:r>
    </w:p>
    <w:p>
      <w:pPr>
        <w:spacing w:after="140" w:before="0" w:line="276"/>
      </w:pPr>
      <w:r>
        <w:rPr>
          <w:i w:val="false"/>
          <w:iCs w:val="false"/>
        </w:rPr>
        <w:t xml:space="preserve">Anyone picking this up should run the files in </w:t>
      </w:r>
      <w:r>
        <w:rPr>
          <w:rFonts w:ascii="Consolas" w:cs="Consolas" w:eastAsia="Consolas" w:hAnsi="Consolas"/>
          <w:i w:val="false"/>
          <w:iCs w:val="false"/>
          <w:sz w:val="17"/>
          <w:szCs w:val="17"/>
        </w:rPr>
        <w:t xml:space="preserve">sql/</w:t>
      </w:r>
      <w:r>
        <w:rPr>
          <w:i w:val="false"/>
          <w:iCs w:val="false"/>
        </w:rPr>
        <w:t xml:space="preserve"> and confirm the figures before quoting them externally.</w:t>
      </w:r>
    </w:p>
    <w:p>
      <w:pPr>
        <w:pBdr>
          <w:bottom w:val="single" w:color="D4D4D8" w:sz="6" w:space="1"/>
        </w:pBdr>
        <w:spacing w:after="200" w:before="80"/>
      </w:pPr>
    </w:p>
    <w:p>
      <w:pPr>
        <w:pStyle w:val="Heading1"/>
        <w:spacing w:after="120" w:before="320"/>
      </w:pPr>
      <w:r>
        <w:rPr>
          <w:i w:val="false"/>
          <w:iCs w:val="false"/>
        </w:rPr>
        <w:t xml:space="preserve">12.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5506"/>
      </w:tblGrid>
      <w:tr>
        <w:trPr>
          <w:tblHeader/>
        </w:trPr>
        <w:tc>
          <w:tcPr>
            <w:tcW w:type="dxa" w:w="3854"/>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file</w:t>
            </w:r>
          </w:p>
        </w:tc>
        <w:tc>
          <w:tcPr>
            <w:tcW w:type="dxa" w:w="5506"/>
            <w:tcBorders>
              <w:top w:val="single" w:color="D4D4D8" w:sz="2"/>
              <w:left w:val="single" w:color="D4D4D8" w:sz="2"/>
              <w:bottom w:val="single" w:color="D4D4D8" w:sz="2"/>
              <w:right w:val="single" w:color="D4D4D8" w:sz="2"/>
            </w:tcBorders>
            <w:shd w:fill="EFEFF1" w:val="clear"/>
            <w:tcMar>
              <w:top w:type="dxa" w:w="60"/>
              <w:left w:type="dxa" w:w="100"/>
              <w:bottom w:type="dxa" w:w="60"/>
              <w:right w:type="dxa" w:w="100"/>
            </w:tcMar>
          </w:tcPr>
          <w:p>
            <w:pPr>
              <w:spacing w:after="0" w:before="0"/>
            </w:pPr>
            <w:r>
              <w:rPr>
                <w:b/>
                <w:bCs/>
                <w:i w:val="false"/>
                <w:iCs w:val="false"/>
              </w:rPr>
              <w:t xml:space="preserve">what it is</w:t>
            </w:r>
          </w:p>
        </w:tc>
      </w:tr>
      <w:tr>
        <w:trPr>
          <w:tblHeader w:val="off"/>
        </w:trPr>
        <w:tc>
          <w:tcPr>
            <w:tcW w:type="dxa" w:w="385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equip_cohort_ltr_rca_summary.md</w:t>
            </w:r>
          </w:p>
        </w:tc>
        <w:tc>
          <w:tcPr>
            <w:tcW w:type="dxa" w:w="550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this document</w:t>
            </w:r>
          </w:p>
        </w:tc>
      </w:tr>
      <w:tr>
        <w:trPr>
          <w:tblHeader w:val="off"/>
        </w:trPr>
        <w:tc>
          <w:tcPr>
            <w:tcW w:type="dxa" w:w="385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sql/02_before_logic.sql</w:t>
            </w:r>
          </w:p>
        </w:tc>
        <w:tc>
          <w:tcPr>
            <w:tcW w:type="dxa" w:w="550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§2 — the Before tab, all cohorts</w:t>
            </w:r>
          </w:p>
        </w:tc>
      </w:tr>
      <w:tr>
        <w:trPr>
          <w:tblHeader w:val="off"/>
        </w:trPr>
        <w:tc>
          <w:tcPr>
            <w:tcW w:type="dxa" w:w="385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sql/03_source_table_check.sql</w:t>
            </w:r>
          </w:p>
        </w:tc>
        <w:tc>
          <w:tcPr>
            <w:tcW w:type="dxa" w:w="550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§3 — returns and OLM vs LineItemMaster</w:t>
            </w:r>
          </w:p>
        </w:tc>
      </w:tr>
      <w:tr>
        <w:trPr>
          <w:tblHeader w:val="off"/>
        </w:trPr>
        <w:tc>
          <w:tcPr>
            <w:tcW w:type="dxa" w:w="385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sql/05a_change1_four_rules.sql</w:t>
            </w:r>
          </w:p>
        </w:tc>
        <w:tc>
          <w:tcPr>
            <w:tcW w:type="dxa" w:w="550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§5.1 — all four attribution rules; the engine behind everything</w:t>
            </w:r>
          </w:p>
        </w:tc>
      </w:tr>
      <w:tr>
        <w:trPr>
          <w:tblHeader w:val="off"/>
        </w:trPr>
        <w:tc>
          <w:tcPr>
            <w:tcW w:type="dxa" w:w="385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sql/05b_change2_faire.sql</w:t>
            </w:r>
          </w:p>
        </w:tc>
        <w:tc>
          <w:tcPr>
            <w:tcW w:type="dxa" w:w="550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§5.2 — Faire orders, retailers, and what reaches OLM</w:t>
            </w:r>
          </w:p>
        </w:tc>
      </w:tr>
      <w:tr>
        <w:trPr>
          <w:tblHeader w:val="off"/>
        </w:trPr>
        <w:tc>
          <w:tcPr>
            <w:tcW w:type="dxa" w:w="385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sql/05c_change3_zero_founding.sql</w:t>
            </w:r>
          </w:p>
        </w:tc>
        <w:tc>
          <w:tcPr>
            <w:tcW w:type="dxa" w:w="550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§5.3 — the $0 founding-order promotion</w:t>
            </w:r>
          </w:p>
        </w:tc>
      </w:tr>
      <w:tr>
        <w:trPr>
          <w:tblHeader w:val="off"/>
        </w:trPr>
        <w:tc>
          <w:tcPr>
            <w:tcW w:type="dxa" w:w="385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sql/06a_march_three_steps.sql</w:t>
            </w:r>
          </w:p>
        </w:tc>
        <w:tc>
          <w:tcPr>
            <w:tcW w:type="dxa" w:w="550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§6 — March, Before / After ch.1 / After ch.1+2</w:t>
            </w:r>
          </w:p>
        </w:tc>
      </w:tr>
      <w:tr>
        <w:trPr>
          <w:tblHeader w:val="off"/>
        </w:trPr>
        <w:tc>
          <w:tcPr>
            <w:tcW w:type="dxa" w:w="385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sql/06b_all_cohorts_latest.sql</w:t>
            </w:r>
          </w:p>
        </w:tc>
        <w:tc>
          <w:tcPr>
            <w:tcW w:type="dxa" w:w="550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§6 — every cohort at its latest month</w:t>
            </w:r>
          </w:p>
        </w:tc>
      </w:tr>
      <w:tr>
        <w:trPr>
          <w:tblHeader w:val="off"/>
        </w:trPr>
        <w:tc>
          <w:tcPr>
            <w:tcW w:type="dxa" w:w="385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sql/07_ruled_out_checks.sql</w:t>
            </w:r>
          </w:p>
        </w:tc>
        <w:tc>
          <w:tcPr>
            <w:tcW w:type="dxa" w:w="550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§7 — the three one-line kills</w:t>
            </w:r>
          </w:p>
        </w:tc>
      </w:tr>
      <w:tr>
        <w:trPr>
          <w:tblHeader w:val="off"/>
        </w:trPr>
        <w:tc>
          <w:tcPr>
            <w:tcW w:type="dxa" w:w="385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sql/08a_export_march_customer_level.sql</w:t>
            </w:r>
          </w:p>
        </w:tc>
        <w:tc>
          <w:tcPr>
            <w:tcW w:type="dxa" w:w="550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recipe for the customer-level export (unrun)</w:t>
            </w:r>
          </w:p>
        </w:tc>
      </w:tr>
      <w:tr>
        <w:trPr>
          <w:tblHeader w:val="off"/>
        </w:trPr>
        <w:tc>
          <w:tcPr>
            <w:tcW w:type="dxa" w:w="385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sql/08b_export_faire_retailers_march.sql</w:t>
            </w:r>
          </w:p>
        </w:tc>
        <w:tc>
          <w:tcPr>
            <w:tcW w:type="dxa" w:w="550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recipe for the Faire retailer export (unrun)</w:t>
            </w:r>
          </w:p>
        </w:tc>
      </w:tr>
      <w:tr>
        <w:trPr>
          <w:tblHeader w:val="off"/>
        </w:trPr>
        <w:tc>
          <w:tcPr>
            <w:tcW w:type="dxa" w:w="385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exports/march_three_steps.csv</w:t>
            </w:r>
          </w:p>
        </w:tc>
        <w:tc>
          <w:tcPr>
            <w:tcW w:type="dxa" w:w="550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§6 March table, with diffs against the client</w:t>
            </w:r>
          </w:p>
        </w:tc>
      </w:tr>
      <w:tr>
        <w:trPr>
          <w:tblHeader w:val="off"/>
        </w:trPr>
        <w:tc>
          <w:tcPr>
            <w:tcW w:type="dxa" w:w="3854"/>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rFonts w:ascii="Consolas" w:cs="Consolas" w:eastAsia="Consolas" w:hAnsi="Consolas"/>
                <w:i w:val="false"/>
                <w:iCs w:val="false"/>
                <w:sz w:val="17"/>
                <w:szCs w:val="17"/>
              </w:rPr>
              <w:t xml:space="preserve">exports/all_cohorts_latest_month.csv</w:t>
            </w:r>
          </w:p>
        </w:tc>
        <w:tc>
          <w:tcPr>
            <w:tcW w:type="dxa" w:w="5506"/>
            <w:tcBorders>
              <w:top w:val="single" w:color="D4D4D8" w:sz="2"/>
              <w:left w:val="single" w:color="D4D4D8" w:sz="2"/>
              <w:bottom w:val="single" w:color="D4D4D8" w:sz="2"/>
              <w:right w:val="single" w:color="D4D4D8" w:sz="2"/>
            </w:tcBorders>
            <w:tcMar>
              <w:top w:type="dxa" w:w="60"/>
              <w:left w:type="dxa" w:w="100"/>
              <w:bottom w:type="dxa" w:w="60"/>
              <w:right w:type="dxa" w:w="100"/>
            </w:tcMar>
          </w:tcPr>
          <w:p>
            <w:pPr>
              <w:spacing w:after="0" w:before="0"/>
            </w:pPr>
            <w:r>
              <w:rPr>
                <w:i w:val="false"/>
                <w:iCs w:val="false"/>
              </w:rPr>
              <w:t xml:space="preserve">§6 all-cohort table, with diffs against the client</w:t>
            </w:r>
          </w:p>
        </w:tc>
      </w:tr>
    </w:tbl>
    <w:p>
      <w:pPr>
        <w:spacing w:after="160"/>
      </w:pPr>
    </w:p>
    <w:p>
      <w:pPr>
        <w:spacing w:after="140" w:before="0" w:line="276"/>
      </w:pPr>
      <w:r>
        <w:rPr>
          <w:rFonts w:ascii="Consolas" w:cs="Consolas" w:eastAsia="Consolas" w:hAnsi="Consolas"/>
          <w:i w:val="false"/>
          <w:iCs w:val="false"/>
          <w:sz w:val="17"/>
          <w:szCs w:val="17"/>
        </w:rPr>
        <w:t xml:space="preserve">05a</w:t>
      </w:r>
      <w:r>
        <w:rPr>
          <w:i w:val="false"/>
          <w:iCs w:val="false"/>
        </w:rPr>
        <w:t xml:space="preserve">, </w:t>
      </w:r>
      <w:r>
        <w:rPr>
          <w:rFonts w:ascii="Consolas" w:cs="Consolas" w:eastAsia="Consolas" w:hAnsi="Consolas"/>
          <w:i w:val="false"/>
          <w:iCs w:val="false"/>
          <w:sz w:val="17"/>
          <w:szCs w:val="17"/>
        </w:rPr>
        <w:t xml:space="preserve">06a</w:t>
      </w:r>
      <w:r>
        <w:rPr>
          <w:i w:val="false"/>
          <w:iCs w:val="false"/>
        </w:rPr>
        <w:t xml:space="preserve"> and </w:t>
      </w:r>
      <w:r>
        <w:rPr>
          <w:rFonts w:ascii="Consolas" w:cs="Consolas" w:eastAsia="Consolas" w:hAnsi="Consolas"/>
          <w:i w:val="false"/>
          <w:iCs w:val="false"/>
          <w:sz w:val="17"/>
          <w:szCs w:val="17"/>
        </w:rPr>
        <w:t xml:space="preserve">06b</w:t>
      </w:r>
      <w:r>
        <w:rPr>
          <w:i w:val="false"/>
          <w:iCs w:val="false"/>
        </w:rPr>
        <w:t xml:space="preserve"> share one engine — the CTE block is identical in all three and only the final SELECT differs, so a change to the logic must be made in all three.</w:t>
      </w:r>
    </w:p>
    <w:p>
      <w:pPr>
        <w:spacing w:after="140" w:before="0" w:line="276"/>
      </w:pPr>
      <w:r>
        <w:rPr>
          <w:i w:val="false"/>
          <w:iCs w:val="false"/>
        </w:rPr>
        <w:t xml:space="preserve">Every </w:t>
      </w:r>
      <w:r>
        <w:rPr>
          <w:rFonts w:ascii="Consolas" w:cs="Consolas" w:eastAsia="Consolas" w:hAnsi="Consolas"/>
          <w:i w:val="false"/>
          <w:iCs w:val="false"/>
          <w:sz w:val="17"/>
          <w:szCs w:val="17"/>
        </w:rPr>
        <w:t xml:space="preserve">sql/</w:t>
      </w:r>
      <w:r>
        <w:rPr>
          <w:i w:val="false"/>
          <w:iCs w:val="false"/>
        </w:rPr>
        <w:t xml:space="preserve"> file is a single read-only SELECT with its parameters in a </w:t>
      </w:r>
      <w:r>
        <w:rPr>
          <w:rFonts w:ascii="Consolas" w:cs="Consolas" w:eastAsia="Consolas" w:hAnsi="Consolas"/>
          <w:i w:val="false"/>
          <w:iCs w:val="false"/>
          <w:sz w:val="17"/>
          <w:szCs w:val="17"/>
        </w:rPr>
        <w:t xml:space="preserve">params</w:t>
      </w:r>
      <w:r>
        <w:rPr>
          <w:i w:val="false"/>
          <w:iCs w:val="false"/>
        </w:rPr>
        <w:t xml:space="preserve"> CTE at the top. Nothing in this folder creates, alters, or writes anything.</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rFonts w:ascii="Calibri" w:cs="Calibri" w:eastAsia="Calibri" w:hAnsi="Calibri"/>
      <w:b/>
      <w:bCs/>
      <w:color w:val="18181B"/>
      <w:sz w:val="40"/>
      <w:szCs w:val="40"/>
    </w:rPr>
  </w:style>
  <w:style w:type="paragraph" w:styleId="Heading1">
    <w:name w:val="Heading 1"/>
    <w:basedOn w:val="Normal"/>
    <w:next w:val="Normal"/>
    <w:qFormat/>
    <w:rPr>
      <w:rFonts w:ascii="Calibri" w:cs="Calibri" w:eastAsia="Calibri" w:hAnsi="Calibri"/>
      <w:b/>
      <w:bCs/>
      <w:color w:val="18181B"/>
      <w:sz w:val="30"/>
      <w:szCs w:val="30"/>
    </w:rPr>
  </w:style>
  <w:style w:type="paragraph" w:styleId="Heading2">
    <w:name w:val="Heading 2"/>
    <w:basedOn w:val="Normal"/>
    <w:next w:val="Normal"/>
    <w:qFormat/>
    <w:rPr>
      <w:rFonts w:ascii="Calibri" w:cs="Calibri" w:eastAsia="Calibri" w:hAnsi="Calibri"/>
      <w:b/>
      <w:bCs/>
      <w:color w:val="27272A"/>
      <w:sz w:val="25"/>
      <w:szCs w:val="25"/>
    </w:rPr>
  </w:style>
  <w:style w:type="paragraph" w:styleId="Heading3">
    <w:name w:val="Heading 3"/>
    <w:basedOn w:val="Normal"/>
    <w:next w:val="Normal"/>
    <w:qFormat/>
    <w:rPr>
      <w:rFonts w:ascii="Calibri" w:cs="Calibri" w:eastAsia="Calibri" w:hAnsi="Calibri"/>
      <w:b/>
      <w:bCs/>
      <w:color w:val="3F3F4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2026-10-05T09:24:41.148Z</dcterms:created>
  <dcterms:modified xsi:type="dcterms:W3CDTF">2026-10-05T09:24:41.157Z</dcterms:modified>
</cp:coreProperties>
</file>

<file path=docProps/custom.xml><?xml version="1.0" encoding="utf-8"?>
<Properties xmlns="http://schemas.openxmlformats.org/officeDocument/2006/custom-properties" xmlns:vt="http://schemas.openxmlformats.org/officeDocument/2006/docPropsVTypes"/>
</file>