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45.png" ContentType="image/png"/>
  <Override PartName="/word/media/rId30.jpg" ContentType="image/jpe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Pandoc</w:t>
      </w:r>
    </w:p>
    <w:p>
      <w:pPr>
        <w:pStyle w:val="Date"/>
      </w:pPr>
      <w:r>
        <w:t xml:space="preserve">2015-12-20T00:00:00-06:00</w:t>
      </w:r>
    </w:p>
    <w:p>
      <w:pPr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FirstParagraph"/>
      </w:pPr>
      <w:r>
        <w:t xml:space="preserve">You can view this post in the following formats, thanks to Pandoc!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BodyText"/>
      </w:pPr>
      <w:r>
        <w:t xml:space="preserve">I’ve had several people ask me about Markdown for academic writing recently.</w:t>
      </w:r>
      <w:r>
        <w:t xml:space="preserve"> </w:t>
      </w:r>
      <w:r>
        <w:t xml:space="preserve">I figured I’d use this post to write about my workflow and my resources on this topic.</w:t>
      </w:r>
    </w:p>
    <w:p>
      <w:pPr>
        <w:pStyle w:val="Heading1"/>
      </w:pPr>
      <w:bookmarkStart w:id="27" w:name="why-markdown"/>
      <w:r>
        <w:t xml:space="preserve">Why Markdown</w:t>
      </w:r>
      <w:bookmarkEnd w:id="27"/>
    </w:p>
    <w:p>
      <w:pPr>
        <w:pStyle w:val="FirstParagraph"/>
      </w:pPr>
      <w:r>
        <w:t xml:space="preserve">Academic writing involves:</w:t>
      </w:r>
    </w:p>
    <w:p>
      <w:pPr>
        <w:numPr>
          <w:ilvl w:val="0"/>
          <w:numId w:val="1001"/>
        </w:numPr>
        <w:pStyle w:val="Compact"/>
      </w:pPr>
      <w:r>
        <w:t xml:space="preserve">writing down ideas as they come along and documenting results (notetaking),</w:t>
      </w:r>
    </w:p>
    <w:p>
      <w:pPr>
        <w:numPr>
          <w:ilvl w:val="0"/>
          <w:numId w:val="1001"/>
        </w:numPr>
        <w:pStyle w:val="Compact"/>
      </w:pPr>
      <w:r>
        <w:t xml:space="preserve">experimenting with these ideas (simulations and data analysis),</w:t>
      </w:r>
    </w:p>
    <w:p>
      <w:pPr>
        <w:numPr>
          <w:ilvl w:val="0"/>
          <w:numId w:val="1001"/>
        </w:numPr>
        <w:pStyle w:val="Compact"/>
      </w:pPr>
      <w:r>
        <w:t xml:space="preserve">and finally presenting them effectively (scientific paper).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 \LaTeX.</w:t>
      </w:r>
    </w:p>
    <w:p>
      <w:pPr>
        <w:pStyle w:val="Heading2"/>
      </w:pPr>
      <w:bookmarkStart w:id="28" w:name="a-word-about-word"/>
      <w:r>
        <w:t xml:space="preserve">A word about Word</w:t>
      </w:r>
      <w:bookmarkEnd w:id="28"/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_nodate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_nodate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_nodate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above:</w:t>
      </w:r>
    </w:p>
    <w:p>
      <w:pPr>
        <w:numPr>
          <w:ilvl w:val="0"/>
          <w:numId w:val="1002"/>
        </w:numPr>
        <w:pStyle w:val="Compact"/>
      </w:pPr>
      <w:r>
        <w:t xml:space="preserve">Word is slow, and consumes sometimes up to a gig of virtual memory. For what is basically a word processor, that is unnecessary.</w:t>
      </w:r>
    </w:p>
    <w:p>
      <w:pPr>
        <w:numPr>
          <w:ilvl w:val="0"/>
          <w:numId w:val="1002"/>
        </w:numPr>
        <w:pStyle w:val="Compact"/>
      </w:pPr>
      <w:r>
        <w:t xml:space="preserve">there is no clean way to permanently save comments or notes, that persist in the final version without affecting how final document looks.</w:t>
      </w:r>
    </w:p>
    <w:p>
      <w:pPr>
        <w:numPr>
          <w:ilvl w:val="0"/>
          <w:numId w:val="1002"/>
        </w:numPr>
        <w:pStyle w:val="Compact"/>
      </w:pPr>
      <w:r>
        <w:t xml:space="preserve">collaborating with other people requires foresight and planning.</w:t>
      </w:r>
    </w:p>
    <w:p>
      <w:pPr>
        <w:numPr>
          <w:ilvl w:val="0"/>
          <w:numId w:val="1002"/>
        </w:numPr>
        <w:pStyle w:val="Compact"/>
      </w:pPr>
      <w:r>
        <w:t xml:space="preserve">the equation editor is painful to use.</w:t>
      </w:r>
    </w:p>
    <w:p>
      <w:pPr>
        <w:numPr>
          <w:ilvl w:val="0"/>
          <w:numId w:val="1002"/>
        </w:numPr>
        <w:pStyle w:val="Compact"/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Hettinger:</w:t>
      </w:r>
    </w:p>
    <w:p>
      <w:pPr>
        <w:pStyle w:val="CaptionedFigure"/>
      </w:pPr>
      <w:r>
        <w:drawing>
          <wp:inline>
            <wp:extent cx="5334000" cy="3025253"/>
            <wp:effectExtent b="0" l="0" r="0" t="0"/>
            <wp:docPr descr="Raymond Hettinger" title="" id="1" name="Picture"/>
            <a:graphic>
              <a:graphicData uri="http://schemas.openxmlformats.org/drawingml/2006/picture">
                <pic:pic>
                  <pic:nvPicPr>
                    <pic:cNvPr descr="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31" w:name="latex---lah-tekh-lah-tek-or-lay-tek"/>
      <w:r>
        <w:t xml:space="preserve">\LaTeX - lah-tekh, lah-tek or lay-tek</w:t>
      </w:r>
      <w:bookmarkEnd w:id="31"/>
    </w:p>
    <w:p>
      <w:pPr>
        <w:pStyle w:val="FirstParagraph"/>
      </w:pPr>
      <w:r>
        <w:t xml:space="preserve">Enter \LaTeX.</w:t>
      </w:r>
    </w:p>
    <w:p>
      <w:pPr>
        <w:pStyle w:val="BlockText"/>
      </w:pPr>
      <w:r>
        <w:t xml:space="preserve">\LaTeX is to a book what a set of blueprints is to a building.</w:t>
      </w:r>
      <w:r>
        <w:t xml:space="preserve"> </w:t>
      </w:r>
      <w:r>
        <w:t xml:space="preserve">[</w:t>
      </w:r>
      <w:hyperlink w:anchor="ref-noauthor_stackoverflow_nodate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\LaTeX 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</w:p>
    <w:p>
      <w:pPr>
        <w:pStyle w:val="BodyText"/>
      </w:pPr>
      <w:r>
        <w:t xml:space="preserve">Essentially, \LaTeX 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\LaTeX 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 \LaTeX community is great and are very helpful towards beginners.</w:t>
      </w:r>
      <w:r>
        <w:t xml:space="preserve"> </w:t>
      </w:r>
      <w:r>
        <w:t xml:space="preserve">There are hundreds of packages that improve upon the functionality that \LaTeX 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 \LaTeX environment.</w:t>
      </w:r>
    </w:p>
    <w:p>
      <w:pPr>
        <w:pStyle w:val="BodyText"/>
      </w:pPr>
      <w:r>
        <w:t xml:space="preserve">However, there is a barrier to entry which one must overcome in order to begin using \LaTeX.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 \LaTeX 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 \LaTeX 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 \LaTeX.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rPr>
          <w:rStyle w:val="VerbatimChar"/>
        </w:rPr>
        <w:t xml:space="preserve">\subsection{Sub Section Name}</w:t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rPr>
          <w:rStyle w:val="VerbatimChar"/>
        </w:rPr>
        <w:t xml:space="preserve">\begin{enumerate}</w:t>
      </w:r>
      <w:r>
        <w:br/>
      </w:r>
      <w:r>
        <w:rPr>
          <w:rStyle w:val="VerbatimChar"/>
        </w:rPr>
        <w:t xml:space="preserve">  \item The first \textbf{bold} item</w:t>
      </w:r>
      <w:r>
        <w:br/>
      </w:r>
      <w:r>
        <w:rPr>
          <w:rStyle w:val="VerbatimChar"/>
        </w:rPr>
        <w:t xml:space="preserve">  \begin{enumerate}</w:t>
      </w:r>
      <w:r>
        <w:br/>
      </w:r>
      <w:r>
        <w:rPr>
          <w:rStyle w:val="VerbatimChar"/>
        </w:rPr>
        <w:t xml:space="preserve">    \item Nested item 1</w:t>
      </w:r>
      <w:r>
        <w:br/>
      </w:r>
      <w:r>
        <w:rPr>
          <w:rStyle w:val="VerbatimChar"/>
        </w:rPr>
        <w:t xml:space="preserve">    \item Nested item 2</w:t>
      </w:r>
      <w:r>
        <w:br/>
      </w:r>
      <w:r>
        <w:rPr>
          <w:rStyle w:val="VerbatimChar"/>
        </w:rPr>
        <w:t xml:space="preserve">  \end{enumerate}</w:t>
      </w:r>
      <w:r>
        <w:br/>
      </w:r>
      <w:r>
        <w:rPr>
          <w:rStyle w:val="VerbatimChar"/>
        </w:rPr>
        <w:t xml:space="preserve">  \item The second \textit{italicized} item</w:t>
      </w:r>
      <w:r>
        <w:br/>
      </w:r>
      <w:r>
        <w:rPr>
          <w:rStyle w:val="VerbatimChar"/>
        </w:rPr>
        <w:t xml:space="preserve">  \item The third etc \ldots</w:t>
      </w:r>
      <w:r>
        <w:br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 \LaTeX this isn’t as bad as it looks, although they still hinder the writer’s flow.</w:t>
      </w:r>
      <w:r>
        <w:t xml:space="preserve"> </w:t>
      </w:r>
      <w:r>
        <w:t xml:space="preserve">Over time and with experience, one can become proficient in \LaTeX.</w:t>
      </w:r>
      <w:r>
        <w:t xml:space="preserve"> </w:t>
      </w:r>
      <w:r>
        <w:t xml:space="preserve">And once you invest the time to learn \LaTeX 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 \LaTeX,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33" w:name="markdown"/>
      <w:r>
        <w:t xml:space="preserve">Markdown</w:t>
      </w:r>
      <w:bookmarkEnd w:id="33"/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/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br/>
      </w:r>
      <w:r>
        <w:rPr>
          <w:rStyle w:val="VerbatimChar"/>
        </w:rPr>
        <w:t xml:space="preserve">## Sub Section Name</w:t>
      </w:r>
      <w:r>
        <w:br/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br/>
      </w:r>
      <w:r>
        <w:rPr>
          <w:rStyle w:val="VerbatimChar"/>
        </w:rPr>
        <w:t xml:space="preserve">* The first **bold** item</w:t>
      </w:r>
      <w:r>
        <w:br/>
      </w:r>
      <w:r>
        <w:rPr>
          <w:rStyle w:val="VerbatimChar"/>
        </w:rPr>
        <w:t xml:space="preserve">    - Nested item 1</w:t>
      </w:r>
      <w:r>
        <w:br/>
      </w:r>
      <w:r>
        <w:rPr>
          <w:rStyle w:val="VerbatimChar"/>
        </w:rPr>
        <w:t xml:space="preserve">    - Nested item 2</w:t>
      </w:r>
      <w:r>
        <w:br/>
      </w:r>
      <w:r>
        <w:rPr>
          <w:rStyle w:val="VerbatimChar"/>
        </w:rPr>
        <w:t xml:space="preserve">* The second *italicized* item</w:t>
      </w:r>
      <w:r>
        <w:br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 \LaTeX.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numPr>
          <w:ilvl w:val="0"/>
          <w:numId w:val="1003"/>
        </w:numPr>
        <w:pStyle w:val="Compact"/>
      </w:pPr>
      <w:r>
        <w:t xml:space="preserve">Easy: the syntax is simple</w:t>
      </w:r>
    </w:p>
    <w:p>
      <w:pPr>
        <w:numPr>
          <w:ilvl w:val="0"/>
          <w:numId w:val="1003"/>
        </w:numPr>
        <w:pStyle w:val="Compact"/>
      </w:pPr>
      <w:r>
        <w:t xml:space="preserve">Fast: the simple formatting saves time and speeds up workflows of writers</w:t>
      </w:r>
    </w:p>
    <w:p>
      <w:pPr>
        <w:numPr>
          <w:ilvl w:val="0"/>
          <w:numId w:val="1003"/>
        </w:numPr>
        <w:pStyle w:val="Compact"/>
      </w:pPr>
      <w:r>
        <w:t xml:space="preserve">Portable: documents are cross-platform by nature</w:t>
      </w:r>
    </w:p>
    <w:p>
      <w:pPr>
        <w:numPr>
          <w:ilvl w:val="0"/>
          <w:numId w:val="1003"/>
        </w:numPr>
        <w:pStyle w:val="Compact"/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 \LaTeX for those specific set of things.</w:t>
      </w:r>
      <w:r>
        <w:t xml:space="preserve"> </w:t>
      </w:r>
      <w:r>
        <w:t xml:space="preserve">Take for example this table</w:t>
      </w:r>
      <w:r>
        <w:t xml:space="preserve"> </w:t>
      </w:r>
      <w:hyperlink w:anchor="tbl:tab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 \LaTeX.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/>
      </w:r>
      <w:r>
        <w:rPr>
          <w:rStyle w:val="VerbatimChar"/>
        </w:rPr>
        <w:t xml:space="preserve">\caption{Demonstration of simple table syntax.}</w:t>
      </w:r>
      <w:r>
        <w:br/>
      </w:r>
      <w:r>
        <w:rPr>
          <w:rStyle w:val="VerbatimChar"/>
        </w:rPr>
        <w:t xml:space="preserve">\tabularnewline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\endfirsthead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\endhead</w:t>
      </w:r>
      <w:r>
        <w:br/>
      </w:r>
      <w:r>
        <w:rPr>
          <w:rStyle w:val="VerbatimChar"/>
        </w:rPr>
        <w:t xml:space="preserve">12 &amp; 12 &amp; 12 &amp; 12\tabularnewline</w:t>
      </w:r>
      <w:r>
        <w:br/>
      </w:r>
      <w:r>
        <w:rPr>
          <w:rStyle w:val="VerbatimChar"/>
        </w:rPr>
        <w:t xml:space="preserve">123 &amp; 123 &amp; 123 &amp; 123\tabularnewline</w:t>
      </w:r>
      <w:r>
        <w:br/>
      </w:r>
      <w:r>
        <w:rPr>
          <w:rStyle w:val="VerbatimChar"/>
        </w:rPr>
        <w:t xml:space="preserve">1 &amp; 1 &amp; 1 &amp; 1\tabularnewline</w:t>
      </w:r>
      <w:r>
        <w:br/>
      </w:r>
      <w:r>
        <w:rPr>
          <w:rStyle w:val="VerbatimChar"/>
        </w:rPr>
        <w:t xml:space="preserve">\bottomrule</w:t>
      </w:r>
      <w:r>
        <w:br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 \LaTeX.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CaptionedFigure"/>
      </w:pPr>
      <w:r>
        <w:drawing>
          <wp:inline>
            <wp:extent cx="2159000" cy="863600"/>
            <wp:effectExtent b="0" l="0" r="0" t="0"/>
            <wp:docPr descr="Tabular \LaTeX example [6]" title="" id="1" name="Picture"/>
            <a:graphic>
              <a:graphicData uri="http://schemas.openxmlformats.org/drawingml/2006/picture">
                <pic:pic>
                  <pic:nvPicPr>
                    <pic:cNvPr descr="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\LaTeX example</w:t>
      </w:r>
      <w:r>
        <w:t xml:space="preserve"> </w:t>
      </w:r>
      <w:r>
        <w:t xml:space="preserve">[</w:t>
      </w:r>
      <w:hyperlink w:anchor="ref-noauthor_wikibooks_nodate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 \LaTeX,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 \LaTeX 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35" w:name="pandoc---a-swiss-army-knife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  <w:bookmarkEnd w:id="35"/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6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formats:</w:t>
      </w:r>
    </w:p>
    <w:p>
      <w:pPr>
        <w:numPr>
          <w:ilvl w:val="0"/>
          <w:numId w:val="1004"/>
        </w:numPr>
        <w:pStyle w:val="Compact"/>
      </w:pPr>
      <w:r>
        <w:t xml:space="preserve">native (native Haskell)</w:t>
      </w:r>
    </w:p>
    <w:p>
      <w:pPr>
        <w:numPr>
          <w:ilvl w:val="0"/>
          <w:numId w:val="1004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4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4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4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4"/>
        </w:numPr>
        <w:pStyle w:val="Compact"/>
      </w:pPr>
      <w:r>
        <w:t xml:space="preserve">textile (Textile)</w:t>
      </w:r>
    </w:p>
    <w:p>
      <w:pPr>
        <w:numPr>
          <w:ilvl w:val="0"/>
          <w:numId w:val="1004"/>
        </w:numPr>
        <w:pStyle w:val="Compact"/>
      </w:pPr>
      <w:r>
        <w:t xml:space="preserve">rst (reStructuredText)</w:t>
      </w:r>
    </w:p>
    <w:p>
      <w:pPr>
        <w:numPr>
          <w:ilvl w:val="0"/>
          <w:numId w:val="1004"/>
        </w:numPr>
        <w:pStyle w:val="Compact"/>
      </w:pPr>
      <w:r>
        <w:t xml:space="preserve">html (HTML)</w:t>
      </w:r>
    </w:p>
    <w:p>
      <w:pPr>
        <w:numPr>
          <w:ilvl w:val="0"/>
          <w:numId w:val="1004"/>
        </w:numPr>
        <w:pStyle w:val="Compact"/>
      </w:pPr>
      <w:r>
        <w:t xml:space="preserve">docbook (DocBook)</w:t>
      </w:r>
    </w:p>
    <w:p>
      <w:pPr>
        <w:numPr>
          <w:ilvl w:val="0"/>
          <w:numId w:val="1004"/>
        </w:numPr>
        <w:pStyle w:val="Compact"/>
      </w:pPr>
      <w:r>
        <w:t xml:space="preserve">t2t (txt2tags)</w:t>
      </w:r>
    </w:p>
    <w:p>
      <w:pPr>
        <w:numPr>
          <w:ilvl w:val="0"/>
          <w:numId w:val="1004"/>
        </w:numPr>
        <w:pStyle w:val="Compact"/>
      </w:pPr>
      <w:r>
        <w:t xml:space="preserve">docx (docx)</w:t>
      </w:r>
    </w:p>
    <w:p>
      <w:pPr>
        <w:numPr>
          <w:ilvl w:val="0"/>
          <w:numId w:val="1004"/>
        </w:numPr>
        <w:pStyle w:val="Compact"/>
      </w:pPr>
      <w:r>
        <w:t xml:space="preserve">odt (ODT)</w:t>
      </w:r>
    </w:p>
    <w:p>
      <w:pPr>
        <w:numPr>
          <w:ilvl w:val="0"/>
          <w:numId w:val="1004"/>
        </w:numPr>
        <w:pStyle w:val="Compact"/>
      </w:pPr>
      <w:r>
        <w:t xml:space="preserve">epub (EPUB)</w:t>
      </w:r>
    </w:p>
    <w:p>
      <w:pPr>
        <w:numPr>
          <w:ilvl w:val="0"/>
          <w:numId w:val="1004"/>
        </w:numPr>
        <w:pStyle w:val="Compact"/>
      </w:pPr>
      <w:r>
        <w:t xml:space="preserve">opml (OPML)</w:t>
      </w:r>
    </w:p>
    <w:p>
      <w:pPr>
        <w:numPr>
          <w:ilvl w:val="0"/>
          <w:numId w:val="1004"/>
        </w:numPr>
        <w:pStyle w:val="Compact"/>
      </w:pPr>
      <w:r>
        <w:t xml:space="preserve">org (Emacs Org mode)</w:t>
      </w:r>
    </w:p>
    <w:p>
      <w:pPr>
        <w:numPr>
          <w:ilvl w:val="0"/>
          <w:numId w:val="1004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4"/>
        </w:numPr>
        <w:pStyle w:val="Compact"/>
      </w:pPr>
      <w:r>
        <w:t xml:space="preserve">twiki (TWiki markup)</w:t>
      </w:r>
    </w:p>
    <w:p>
      <w:pPr>
        <w:numPr>
          <w:ilvl w:val="0"/>
          <w:numId w:val="1004"/>
        </w:numPr>
        <w:pStyle w:val="Compact"/>
      </w:pPr>
      <w:r>
        <w:t xml:space="preserve">haddock (Haddock markup)</w:t>
      </w:r>
    </w:p>
    <w:p>
      <w:pPr>
        <w:numPr>
          <w:ilvl w:val="0"/>
          <w:numId w:val="1004"/>
        </w:numPr>
        <w:pStyle w:val="Compact"/>
      </w:pPr>
      <w:r>
        <w:t xml:space="preserve">or latex (\LaTeX)</w:t>
      </w:r>
    </w:p>
    <w:p>
      <w:pPr>
        <w:pStyle w:val="FirstParagraph"/>
      </w:pPr>
      <w:r>
        <w:t xml:space="preserve">Output formats:</w:t>
      </w:r>
    </w:p>
    <w:p>
      <w:pPr>
        <w:numPr>
          <w:ilvl w:val="0"/>
          <w:numId w:val="1005"/>
        </w:numPr>
        <w:pStyle w:val="Compact"/>
      </w:pPr>
      <w:r>
        <w:t xml:space="preserve">native (native Haskell)</w:t>
      </w:r>
    </w:p>
    <w:p>
      <w:pPr>
        <w:numPr>
          <w:ilvl w:val="0"/>
          <w:numId w:val="1005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5"/>
        </w:numPr>
        <w:pStyle w:val="Compact"/>
      </w:pPr>
      <w:r>
        <w:t xml:space="preserve">plain (plain text)</w:t>
      </w:r>
    </w:p>
    <w:p>
      <w:pPr>
        <w:numPr>
          <w:ilvl w:val="0"/>
          <w:numId w:val="1005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5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5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5"/>
        </w:numPr>
        <w:pStyle w:val="Compact"/>
      </w:pPr>
      <w:r>
        <w:t xml:space="preserve">rst (reStructuredText)</w:t>
      </w:r>
    </w:p>
    <w:p>
      <w:pPr>
        <w:numPr>
          <w:ilvl w:val="0"/>
          <w:numId w:val="1005"/>
        </w:numPr>
        <w:pStyle w:val="Compact"/>
      </w:pPr>
      <w:r>
        <w:t xml:space="preserve">html (XHTML)</w:t>
      </w:r>
    </w:p>
    <w:p>
      <w:pPr>
        <w:numPr>
          <w:ilvl w:val="0"/>
          <w:numId w:val="1005"/>
        </w:numPr>
        <w:pStyle w:val="Compact"/>
      </w:pPr>
      <w:r>
        <w:t xml:space="preserve">html5 (HTML5)</w:t>
      </w:r>
    </w:p>
    <w:p>
      <w:pPr>
        <w:numPr>
          <w:ilvl w:val="0"/>
          <w:numId w:val="1005"/>
        </w:numPr>
        <w:pStyle w:val="Compact"/>
      </w:pPr>
      <w:r>
        <w:t xml:space="preserve">latex (\LaTeX)</w:t>
      </w:r>
    </w:p>
    <w:p>
      <w:pPr>
        <w:numPr>
          <w:ilvl w:val="0"/>
          <w:numId w:val="1005"/>
        </w:numPr>
        <w:pStyle w:val="Compact"/>
      </w:pPr>
      <w:r>
        <w:t xml:space="preserve">beamer (\LaTeX beamer slide show)</w:t>
      </w:r>
    </w:p>
    <w:p>
      <w:pPr>
        <w:numPr>
          <w:ilvl w:val="0"/>
          <w:numId w:val="1005"/>
        </w:numPr>
        <w:pStyle w:val="Compact"/>
      </w:pPr>
      <w:r>
        <w:t xml:space="preserve">context (ConTeXt)</w:t>
      </w:r>
    </w:p>
    <w:p>
      <w:pPr>
        <w:numPr>
          <w:ilvl w:val="0"/>
          <w:numId w:val="1005"/>
        </w:numPr>
        <w:pStyle w:val="Compact"/>
      </w:pPr>
      <w:r>
        <w:t xml:space="preserve">man (groff man)</w:t>
      </w:r>
    </w:p>
    <w:p>
      <w:pPr>
        <w:numPr>
          <w:ilvl w:val="0"/>
          <w:numId w:val="1005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5"/>
        </w:numPr>
        <w:pStyle w:val="Compact"/>
      </w:pPr>
      <w:r>
        <w:t xml:space="preserve">dokuwiki (DokuWiki markup)</w:t>
      </w:r>
    </w:p>
    <w:p>
      <w:pPr>
        <w:numPr>
          <w:ilvl w:val="0"/>
          <w:numId w:val="1005"/>
        </w:numPr>
        <w:pStyle w:val="Compact"/>
      </w:pPr>
      <w:r>
        <w:t xml:space="preserve">textile (Textile)</w:t>
      </w:r>
    </w:p>
    <w:p>
      <w:pPr>
        <w:numPr>
          <w:ilvl w:val="0"/>
          <w:numId w:val="1005"/>
        </w:numPr>
        <w:pStyle w:val="Compact"/>
      </w:pPr>
      <w:r>
        <w:t xml:space="preserve">org (Emacs Org mode)</w:t>
      </w:r>
    </w:p>
    <w:p>
      <w:pPr>
        <w:numPr>
          <w:ilvl w:val="0"/>
          <w:numId w:val="1005"/>
        </w:numPr>
        <w:pStyle w:val="Compact"/>
      </w:pPr>
      <w:r>
        <w:t xml:space="preserve">texinfo (GNU Texinfo)</w:t>
      </w:r>
    </w:p>
    <w:p>
      <w:pPr>
        <w:numPr>
          <w:ilvl w:val="0"/>
          <w:numId w:val="1005"/>
        </w:numPr>
        <w:pStyle w:val="Compact"/>
      </w:pPr>
      <w:r>
        <w:t xml:space="preserve">opml (OPML)</w:t>
      </w:r>
    </w:p>
    <w:p>
      <w:pPr>
        <w:numPr>
          <w:ilvl w:val="0"/>
          <w:numId w:val="1005"/>
        </w:numPr>
        <w:pStyle w:val="Compact"/>
      </w:pPr>
      <w:r>
        <w:t xml:space="preserve">docbook (DocBook)</w:t>
      </w:r>
    </w:p>
    <w:p>
      <w:pPr>
        <w:numPr>
          <w:ilvl w:val="0"/>
          <w:numId w:val="1005"/>
        </w:numPr>
        <w:pStyle w:val="Compact"/>
      </w:pPr>
      <w:r>
        <w:t xml:space="preserve">opendocument (OpenDocument)</w:t>
      </w:r>
    </w:p>
    <w:p>
      <w:pPr>
        <w:numPr>
          <w:ilvl w:val="0"/>
          <w:numId w:val="1005"/>
        </w:numPr>
        <w:pStyle w:val="Compact"/>
      </w:pPr>
      <w:r>
        <w:t xml:space="preserve">odt (OpenOffice text document)</w:t>
      </w:r>
    </w:p>
    <w:p>
      <w:pPr>
        <w:numPr>
          <w:ilvl w:val="0"/>
          <w:numId w:val="1005"/>
        </w:numPr>
        <w:pStyle w:val="Compact"/>
      </w:pPr>
      <w:r>
        <w:t xml:space="preserve">docx (Word docx)</w:t>
      </w:r>
    </w:p>
    <w:p>
      <w:pPr>
        <w:numPr>
          <w:ilvl w:val="0"/>
          <w:numId w:val="1005"/>
        </w:numPr>
        <w:pStyle w:val="Compact"/>
      </w:pPr>
      <w:r>
        <w:t xml:space="preserve">haddock (Haddock markup)</w:t>
      </w:r>
    </w:p>
    <w:p>
      <w:pPr>
        <w:numPr>
          <w:ilvl w:val="0"/>
          <w:numId w:val="1005"/>
        </w:numPr>
        <w:pStyle w:val="Compact"/>
      </w:pPr>
      <w:r>
        <w:t xml:space="preserve">rtf (rich text format)</w:t>
      </w:r>
    </w:p>
    <w:p>
      <w:pPr>
        <w:numPr>
          <w:ilvl w:val="0"/>
          <w:numId w:val="1005"/>
        </w:numPr>
        <w:pStyle w:val="Compact"/>
      </w:pPr>
      <w:r>
        <w:t xml:space="preserve">epub (EPUB v2 book)</w:t>
      </w:r>
    </w:p>
    <w:p>
      <w:pPr>
        <w:numPr>
          <w:ilvl w:val="0"/>
          <w:numId w:val="1005"/>
        </w:numPr>
        <w:pStyle w:val="Compact"/>
      </w:pPr>
      <w:r>
        <w:t xml:space="preserve">epub3 (EPUB v3)</w:t>
      </w:r>
    </w:p>
    <w:p>
      <w:pPr>
        <w:numPr>
          <w:ilvl w:val="0"/>
          <w:numId w:val="1005"/>
        </w:numPr>
        <w:pStyle w:val="Compact"/>
      </w:pPr>
      <w:r>
        <w:t xml:space="preserve">fb2 (FictionBook2 e-book)</w:t>
      </w:r>
    </w:p>
    <w:p>
      <w:pPr>
        <w:numPr>
          <w:ilvl w:val="0"/>
          <w:numId w:val="1005"/>
        </w:numPr>
        <w:pStyle w:val="Compact"/>
      </w:pPr>
      <w:r>
        <w:t xml:space="preserve">asciidoc (AsciiDoc)</w:t>
      </w:r>
    </w:p>
    <w:p>
      <w:pPr>
        <w:numPr>
          <w:ilvl w:val="0"/>
          <w:numId w:val="1005"/>
        </w:numPr>
        <w:pStyle w:val="Compact"/>
      </w:pPr>
      <w:r>
        <w:t xml:space="preserve">icml (InDesign ICML)</w:t>
      </w:r>
    </w:p>
    <w:p>
      <w:pPr>
        <w:numPr>
          <w:ilvl w:val="0"/>
          <w:numId w:val="1005"/>
        </w:numPr>
        <w:pStyle w:val="Compact"/>
      </w:pPr>
      <w:r>
        <w:t xml:space="preserve">slidy (Slidy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slideous (Slideous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dzslides (DZSlides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revealjs (reveal.js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7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noauthor_github_nodat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</w:t>
      </w:r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You will also need \LaTeX.</w:t>
      </w:r>
      <w:r>
        <w:t xml:space="preserve"> </w:t>
      </w:r>
      <w:r>
        <w:t xml:space="preserve">I’ve found that the following python packages are useful too.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pandoc-attributes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pandoc-eqnos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pandoc-fignos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pandoc-tablenos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_nodate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_nodate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noauthor_academic_nodate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_nodate-1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9" w:name="syntax"/>
      <w:r>
        <w:t xml:space="preserve">Syntax</w:t>
      </w:r>
      <w:bookmarkEnd w:id="39"/>
    </w:p>
    <w:p>
      <w:pPr>
        <w:pStyle w:val="Heading3"/>
      </w:pPr>
      <w:bookmarkStart w:id="40" w:name="headings"/>
      <w:r>
        <w:rPr>
          <w:i/>
          <w:b/>
        </w:rPr>
        <w:t xml:space="preserve">Headings</w:t>
      </w:r>
      <w:bookmarkEnd w:id="40"/>
    </w:p>
    <w:p>
      <w:pPr>
        <w:pStyle w:val="SourceCode"/>
      </w:pPr>
      <w:r>
        <w:rPr>
          <w:rStyle w:val="VerbatimChar"/>
        </w:rPr>
        <w:t xml:space="preserve"># Section</w:t>
      </w:r>
      <w:r>
        <w:br/>
      </w:r>
      <w:r>
        <w:rPr>
          <w:rStyle w:val="VerbatimChar"/>
        </w:rPr>
        <w:t xml:space="preserve">## Sub Section</w:t>
      </w:r>
      <w:r>
        <w:br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41" w:name="text"/>
      <w:r>
        <w:rPr>
          <w:i/>
          <w:b/>
        </w:rPr>
        <w:t xml:space="preserve">Text</w:t>
      </w:r>
      <w:bookmarkEnd w:id="41"/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/>
      </w:r>
      <w:r>
        <w:rPr>
          <w:rStyle w:val="VerbatimChar"/>
        </w:rPr>
        <w:t xml:space="preserve">This text is in **bold**.</w:t>
      </w:r>
      <w:r>
        <w:br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42" w:name="link"/>
      <w:r>
        <w:rPr>
          <w:i/>
          <w:b/>
        </w:rPr>
        <w:t xml:space="preserve">Link</w:t>
      </w:r>
      <w:bookmarkEnd w:id="42"/>
    </w:p>
    <w:p>
      <w:pPr>
        <w:pStyle w:val="SourceCode"/>
      </w:pPr>
      <w:r>
        <w:rPr>
          <w:rStyle w:val="VerbatimChar"/>
        </w:rPr>
        <w:t xml:space="preserve">[Text](https://google.com)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43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44" w:name="images"/>
      <w:r>
        <w:rPr>
          <w:i/>
          <w:b/>
        </w:rPr>
        <w:t xml:space="preserve">Images</w:t>
      </w:r>
      <w:bookmarkEnd w:id="44"/>
    </w:p>
    <w:p>
      <w:pPr>
        <w:pStyle w:val="SourceCode"/>
      </w:pPr>
      <w:r>
        <w:rPr>
          <w:rStyle w:val="VerbatimChar"/>
        </w:rPr>
        <w:t xml:space="preserve">![Caption](images/markdown.png)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aptionedFigure"/>
      </w:pPr>
      <w:r>
        <w:drawing>
          <wp:inline>
            <wp:extent cx="2116219" cy="1302288"/>
            <wp:effectExtent b="0" l="0" r="0" t="0"/>
            <wp:docPr descr="Caption" title="" id="1" name="Picture"/>
            <a:graphic>
              <a:graphicData uri="http://schemas.openxmlformats.org/drawingml/2006/picture">
                <pic:pic>
                  <pic:nvPicPr>
                    <pic:cNvPr descr="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6" w:name="lists"/>
      <w:r>
        <w:rPr>
          <w:i/>
          <w:b/>
        </w:rPr>
        <w:t xml:space="preserve">Lists</w:t>
      </w:r>
      <w:bookmarkEnd w:id="46"/>
    </w:p>
    <w:p>
      <w:pPr>
        <w:pStyle w:val="SourceCode"/>
      </w:pP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    * item</w:t>
      </w:r>
      <w:r>
        <w:br/>
      </w:r>
      <w:r>
        <w:rPr>
          <w:rStyle w:val="VerbatimChar"/>
        </w:rPr>
        <w:t xml:space="preserve">* item</w:t>
      </w:r>
      <w:r>
        <w:br/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    1. item</w:t>
      </w:r>
      <w:r>
        <w:br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1"/>
          <w:numId w:val="1008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1"/>
          <w:numId w:val="1010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pStyle w:val="Heading3"/>
      </w:pPr>
      <w:bookmarkStart w:id="47" w:name="quotes"/>
      <w:r>
        <w:rPr>
          <w:i/>
          <w:b/>
        </w:rPr>
        <w:t xml:space="preserve">Quotes</w:t>
      </w:r>
      <w:bookmarkEnd w:id="47"/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/>
      </w:r>
      <w:r>
        <w:rPr>
          <w:rStyle w:val="VerbatimChar"/>
        </w:rPr>
        <w:t xml:space="preserve">when I don't know what I'm doing.</w:t>
      </w:r>
      <w:r>
        <w:br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8" w:name="code"/>
      <w:r>
        <w:rPr>
          <w:i/>
          <w:b/>
        </w:rPr>
        <w:t xml:space="preserve">Code</w:t>
      </w:r>
      <w:bookmarkEnd w:id="48"/>
    </w:p>
    <w:p>
      <w:pPr>
        <w:pStyle w:val="SourceCode"/>
      </w:pPr>
      <w:r>
        <w:rPr>
          <w:rStyle w:val="VerbatimChar"/>
        </w:rPr>
        <w:t xml:space="preserve">`inline code`</w:t>
      </w:r>
      <w:r>
        <w:br/>
      </w:r>
      <w:r>
        <w:br/>
      </w:r>
      <w:r>
        <w:rPr>
          <w:rStyle w:val="VerbatimChar"/>
        </w:rPr>
        <w:t xml:space="preserve">    Tab space</w:t>
      </w:r>
      <w:r>
        <w:br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9" w:name="tables"/>
      <w:r>
        <w:rPr>
          <w:i/>
          <w:b/>
        </w:rPr>
        <w:t xml:space="preserve">Tables</w:t>
      </w:r>
      <w:bookmarkEnd w:id="49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  <w:r>
        <w:br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bookmarkStart w:id="0" w:name="tbl:table"/>
    <w:p>
      <w:pPr>
        <w:pStyle w:val="TableCaption"/>
      </w:pPr>
      <w:r>
        <w:t xml:space="preserve">Table 1: Demonstration of simple table syntax.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simple table syntax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Heading3"/>
      </w:pPr>
      <w:bookmarkStart w:id="50" w:name="footnotes"/>
      <w:r>
        <w:rPr>
          <w:i/>
          <w:b/>
        </w:rPr>
        <w:t xml:space="preserve">Footnotes</w:t>
      </w:r>
      <w:bookmarkEnd w:id="50"/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 [^0]</w:t>
      </w:r>
    </w:p>
    <w:p>
      <w:pPr>
        <w:pStyle w:val="Heading3"/>
      </w:pPr>
      <w:bookmarkStart w:id="51" w:name="citations"/>
      <w:r>
        <w:rPr>
          <w:i/>
          <w:b/>
        </w:rPr>
        <w:t xml:space="preserve">Citations</w:t>
      </w:r>
      <w:bookmarkEnd w:id="51"/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52" w:name="strikethrough"/>
      <w:r>
        <w:rPr>
          <w:i/>
          <w:b/>
        </w:rPr>
        <w:t xml:space="preserve">Strikethrough</w:t>
      </w:r>
      <w:bookmarkEnd w:id="52"/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53" w:name="equations"/>
      <w:r>
        <w:rPr>
          <w:i/>
          <w:b/>
        </w:rPr>
        <w:t xml:space="preserve">Equations</w:t>
      </w:r>
      <w:bookmarkEnd w:id="53"/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/>
      </w:r>
      <w:r>
        <w:br/>
      </w:r>
      <w:r>
        <w:rPr>
          <w:rStyle w:val="VerbatimChar"/>
        </w:rPr>
        <w:t xml:space="preserve">Block equations</w:t>
      </w:r>
      <w:r>
        <w:br/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\pi</w:t>
      </w:r>
      <w:r>
        <w:br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w:bookmarkStart w:id="0" w:name="eq:pi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4" w:name="pandoc-conversion"/>
      <w:r>
        <w:t xml:space="preserve">Pandoc conversion</w:t>
      </w:r>
      <w:bookmarkEnd w:id="54"/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noauthor_pandoc_nodate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--latex-engine=pdflatex</w:t>
      </w:r>
      <w:r>
        <w:t xml:space="preserve">: latex engine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--latex-template=latex.template</w:t>
      </w:r>
      <w:r>
        <w:t xml:space="preserve">: latex template file</w:t>
      </w:r>
    </w:p>
    <w:p>
      <w:pPr>
        <w:pStyle w:val="FirstParagraph"/>
      </w:pPr>
      <w:r>
        <w:t xml:space="preserve">This allows you to define a \LaTeX 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--template=html.template</w:t>
      </w:r>
      <w:r>
        <w:t xml:space="preserve">: html template file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--css=cssfile.css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noauthor_googlegroups_nodate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--reference-docx=reference.docx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--filter pandoc-citeproc</w:t>
      </w:r>
      <w:r>
        <w:t xml:space="preserve">: filter to parse citations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--csl=CSLFILE</w:t>
      </w:r>
      <w:r>
        <w:t xml:space="preserve">: define a citation style sheet e.g. ieee.csl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--bibliography=BIBFILE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pandoc-eqnos</w:t>
      </w:r>
      <w:r>
        <w:t xml:space="preserve">: equation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pandoc-fignos</w:t>
      </w:r>
      <w:r>
        <w:t xml:space="preserve">: figure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pandoc-tablenos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</w:t>
      </w:r>
      <w:r>
        <w:t xml:space="preserve"> </w:t>
      </w:r>
      <w:hyperlink w:anchor="eq:pi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an example of a block equation in Markdown.</w:t>
      </w:r>
    </w:p>
    <w:p>
      <w:pPr>
        <w:pStyle w:val="BodyText"/>
      </w:pPr>
      <w:r>
        <w:t xml:space="preserve">A paper may be generated using a command as shown below: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/>
      </w:r>
      <w:r>
        <w:rPr>
          <w:rStyle w:val="VerbatimChar"/>
        </w:rPr>
        <w:t xml:space="preserve">--template=./templates/ieee-latex.template \</w:t>
      </w:r>
      <w:r>
        <w:br/>
      </w:r>
      <w:r>
        <w:rPr>
          <w:rStyle w:val="VerbatimChar"/>
        </w:rPr>
        <w:t xml:space="preserve">--filter pandoc-fignos \</w:t>
      </w:r>
      <w:r>
        <w:br/>
      </w:r>
      <w:r>
        <w:rPr>
          <w:rStyle w:val="VerbatimChar"/>
        </w:rPr>
        <w:t xml:space="preserve">--filter pandoc-eqnos \</w:t>
      </w:r>
      <w:r>
        <w:br/>
      </w:r>
      <w:r>
        <w:rPr>
          <w:rStyle w:val="VerbatimChar"/>
        </w:rPr>
        <w:t xml:space="preserve">--filter pandoc-tablenos \</w:t>
      </w:r>
      <w:r>
        <w:br/>
      </w:r>
      <w:r>
        <w:rPr>
          <w:rStyle w:val="VerbatimChar"/>
        </w:rPr>
        <w:t xml:space="preserve">--filter pandoc-citeproc \</w:t>
      </w:r>
      <w:r>
        <w:br/>
      </w:r>
      <w:r>
        <w:rPr>
          <w:rStyle w:val="VerbatimChar"/>
        </w:rPr>
        <w:t xml:space="preserve">--csl=./styles/ieee.csl \</w:t>
      </w:r>
      <w:r>
        <w:br/>
      </w:r>
      <w:r>
        <w:rPr>
          <w:rStyle w:val="VerbatimChar"/>
        </w:rPr>
        <w:t xml:space="preserve">--bibliography=./bib/research.bib \</w:t>
      </w:r>
      <w:r>
        <w:br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5" w:name="downside-to-using-markdown"/>
      <w:r>
        <w:t xml:space="preserve">Downside to using Markdown?</w:t>
      </w:r>
      <w:bookmarkEnd w:id="55"/>
    </w:p>
    <w:p>
      <w:pPr>
        <w:pStyle w:val="FirstParagraph"/>
      </w:pPr>
      <w:r>
        <w:t xml:space="preserve">Pandoc allows you to define \LaTeX blocks in a markdown file, which are passed straight through to \LaTeX without any change.</w:t>
      </w:r>
      <w:r>
        <w:t xml:space="preserve"> </w:t>
      </w:r>
      <w:r>
        <w:t xml:space="preserve">\LaTeX 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 \LaTeX commands at your disposal.</w:t>
      </w:r>
    </w:p>
    <w:p>
      <w:pPr>
        <w:pStyle w:val="BodyText"/>
      </w:pPr>
      <w:r>
        <w:t xml:space="preserve">However, when converting to html or docx files, pandoc will choose to remove \LaTeX 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 \LaTeX 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 \LaTeX,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 \LaTeX syntax, you are still writing \LaTeX 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6" w:name="bending-markdown-to-your-will"/>
      <w:r>
        <w:t xml:space="preserve">Bending Markdown to your will</w:t>
      </w:r>
      <w:bookmarkEnd w:id="56"/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8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 \LaTeX 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9" w:name="tldr"/>
      <w:r>
        <w:t xml:space="preserve">TLDR</w:t>
      </w:r>
      <w:bookmarkEnd w:id="59"/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 \LaTeX 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relationship between complexity of document and difficulty in implementing when using Word, \LaTeX and Markdown in Fig.</w:t>
      </w:r>
      <w:r>
        <w:t xml:space="preserve"> </w:t>
      </w:r>
      <w:hyperlink w:anchor="fig:learningcurve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learningcurve"/>
    <w:p>
      <w:pPr>
        <w:pStyle w:val="CaptionedFigure"/>
      </w:pPr>
      <w:bookmarkStart w:id="61" w:name="fig:learningcurve"/>
      <w:r>
        <w:drawing>
          <wp:inline>
            <wp:extent cx="5334000" cy="3333750"/>
            <wp:effectExtent b="0" l="0" r="0" t="0"/>
            <wp:docPr descr="Figure 1: Comparing Word, \LaTeX and Markdown" title="" id="1" name="Picture"/>
            <a:graphic>
              <a:graphicData uri="http://schemas.openxmlformats.org/drawingml/2006/picture">
                <pic:pic>
                  <pic:nvPicPr>
                    <pic:cNvPr descr="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1: Comparing Word, \LaTeX and Markdown</w:t>
      </w:r>
    </w:p>
    <w:bookmarkEnd w:id="0"/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</w:t>
      </w:r>
    </w:p>
    <w:bookmarkStart w:id="99" w:name="refs"/>
    <w:bookmarkStart w:id="63" w:name="ref-stallman_emacs_nodate"/>
    <w:p>
      <w:pPr>
        <w:pStyle w:val="Bibliography"/>
      </w:pPr>
      <w:r>
        <w:t xml:space="preserve">[1] R. Stallman, “Emacs as word processor.” Accessed: Jan. 07, 2016. [Online]. Available:</w:t>
      </w:r>
      <w:r>
        <w:t xml:space="preserve"> </w:t>
      </w:r>
      <w:hyperlink r:id="rId62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bookmarkEnd w:id="63"/>
    <w:bookmarkStart w:id="65" w:name="ref-beaumont_bypass_2015"/>
    <w:p>
      <w:pPr>
        <w:pStyle w:val="Bibliography"/>
      </w:pPr>
      <w:r>
        <w:t xml:space="preserve">[2] K. Beaumont, “Bypass almost every Corporate security control with a point’n’click GUI.” Dec. 2015, Accessed: Jan. 07, 2016. [Online]. Available:</w:t>
      </w:r>
      <w:r>
        <w:t xml:space="preserve"> </w:t>
      </w:r>
      <w:hyperlink r:id="rId64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bookmarkEnd w:id="65"/>
    <w:bookmarkStart w:id="67" w:name="ref-steingold_proprietary_nodate"/>
    <w:p>
      <w:pPr>
        <w:pStyle w:val="Bibliography"/>
      </w:pPr>
      <w:r>
        <w:t xml:space="preserve">[3] S. Steingold, “Proprietary Binary Data Formats: Just Say No!” Accessed: Jan. 07, 2016.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bookmarkEnd w:id="67"/>
    <w:bookmarkStart w:id="69" w:name="ref-cottrell_word_nodate"/>
    <w:p>
      <w:pPr>
        <w:pStyle w:val="Bibliography"/>
      </w:pPr>
      <w:r>
        <w:t xml:space="preserve">[4] A. Cottrell, “Word Processors: Stupid and Inefficient.” Accessed: Jan. 07, 2016. [Online]. Available:</w:t>
      </w:r>
      <w:r>
        <w:t xml:space="preserve"> </w:t>
      </w:r>
      <w:hyperlink r:id="rId68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bookmarkEnd w:id="69"/>
    <w:bookmarkStart w:id="71" w:name="ref-noauthor_stackoverflow_nodate"/>
    <w:p>
      <w:pPr>
        <w:pStyle w:val="Bibliography"/>
      </w:pPr>
      <w:r>
        <w:t xml:space="preserve">[5] “StackOverflow Quote.” Accessed: Jan. 08, 2016. [Online]. Available:</w:t>
      </w:r>
      <w:r>
        <w:t xml:space="preserve"> </w:t>
      </w:r>
      <w:hyperlink r:id="rId70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bookmarkEnd w:id="71"/>
    <w:bookmarkStart w:id="73" w:name="ref-noauthor_wikibooks_nodate"/>
    <w:p>
      <w:pPr>
        <w:pStyle w:val="Bibliography"/>
      </w:pPr>
      <w:r>
        <w:t xml:space="preserve">[6] “Wikibooks LaTeX Tables.” Accessed: Jan. 07, 2016. [Online]. Available:</w:t>
      </w:r>
      <w:r>
        <w:t xml:space="preserve"> </w:t>
      </w:r>
      <w:hyperlink r:id="rId72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bookmarkEnd w:id="73"/>
    <w:bookmarkStart w:id="75" w:name="ref-noauthor_github_nodate"/>
    <w:p>
      <w:pPr>
        <w:pStyle w:val="Bibliography"/>
      </w:pPr>
      <w:r>
        <w:t xml:space="preserve">[7] “Github repository to Pandoc.” Accessed: Jan. 06, 2016. [Online]. Available:</w:t>
      </w:r>
      <w:r>
        <w:t xml:space="preserve"> </w:t>
      </w:r>
      <w:hyperlink r:id="rId74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bookmarkEnd w:id="75"/>
    <w:bookmarkStart w:id="77" w:name="ref-krishnamurthy_github_nodate"/>
    <w:p>
      <w:pPr>
        <w:pStyle w:val="Bibliography"/>
      </w:pPr>
      <w:r>
        <w:t xml:space="preserve">[8] D. Krishnamurthy, “Github repository for jupyter notebook pandocfilter.” Accessed: Jan. 08, 2016. [Online]. Available:</w:t>
      </w:r>
      <w:r>
        <w:t xml:space="preserve"> </w:t>
      </w:r>
      <w:hyperlink r:id="rId76">
        <w:r>
          <w:rPr>
            <w:rStyle w:val="Hyperlink"/>
          </w:rPr>
          <w:t xml:space="preserve">https://github.com/kdheepak/pandoc-ipynb</w:t>
        </w:r>
      </w:hyperlink>
      <w:r>
        <w:t xml:space="preserve">.</w:t>
      </w:r>
    </w:p>
    <w:bookmarkEnd w:id="77"/>
    <w:bookmarkStart w:id="79" w:name="ref-krishnamurthy_using_nodate"/>
    <w:p>
      <w:pPr>
        <w:pStyle w:val="Bibliography"/>
      </w:pPr>
      <w:r>
        <w:t xml:space="preserve">[9] D. Krishnamurthy, “Using conda to manage packages.” Accessed: Jan. 06, 2016. [Online]. Available:</w:t>
      </w:r>
      <w:r>
        <w:t xml:space="preserve"> </w:t>
      </w:r>
      <w:hyperlink r:id="rId78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bookmarkEnd w:id="79"/>
    <w:bookmarkStart w:id="81" w:name="ref-healy_plain_nodate"/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80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bookmarkEnd w:id="81"/>
    <w:bookmarkStart w:id="83" w:name="ref-noauthor_writing_nodate"/>
    <w:p>
      <w:pPr>
        <w:pStyle w:val="Bibliography"/>
      </w:pPr>
      <w:r>
        <w:t xml:space="preserve">[11] “Writing academic papers in Markdown using Pandoc.” Accessed: Jan. 09, 2016. [Online]. Available:</w:t>
      </w:r>
      <w:r>
        <w:t xml:space="preserve"> </w:t>
      </w:r>
      <w:hyperlink r:id="rId82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bookmarkEnd w:id="83"/>
    <w:bookmarkStart w:id="85" w:name="ref-noauthor_writing_nodate-1"/>
    <w:p>
      <w:pPr>
        <w:pStyle w:val="Bibliography"/>
      </w:pPr>
      <w:r>
        <w:t xml:space="preserve">[12] “Writing academic papers in plain text with Markdown and Jupyter notebook.” Accessed: Jan. 09, 2016. [Online]. Available:</w:t>
      </w:r>
      <w:r>
        <w:t xml:space="preserve"> </w:t>
      </w:r>
      <w:hyperlink r:id="rId8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bookmarkEnd w:id="85"/>
    <w:bookmarkStart w:id="87" w:name="ref-noauthor_academic_nodate"/>
    <w:p>
      <w:pPr>
        <w:pStyle w:val="Bibliography"/>
      </w:pPr>
      <w:r>
        <w:t xml:space="preserve">[13] “Academic Markdown and Citations.” Accessed: Jan. 09, 2016. [Online]. Available:</w:t>
      </w:r>
      <w:r>
        <w:t xml:space="preserve"> </w:t>
      </w:r>
      <w:hyperlink r:id="rId8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bookmarkEnd w:id="87"/>
    <w:bookmarkStart w:id="89" w:name="ref-krishnamurthy_github_nodate-1"/>
    <w:p>
      <w:pPr>
        <w:pStyle w:val="Bibliography"/>
      </w:pPr>
      <w:r>
        <w:t xml:space="preserve">[14] D. Krishnamurthy, “Github repository to Pandoc Paper Template.” Accessed: Jan. 06, 2016. [Online]. Available:</w:t>
      </w:r>
      <w:r>
        <w:t xml:space="preserve"> </w:t>
      </w:r>
      <w:hyperlink r:id="rId88">
        <w:r>
          <w:rPr>
            <w:rStyle w:val="Hyperlink"/>
          </w:rPr>
          <w:t xml:space="preserve">https://github.com/kdheepak/pandoc-paper</w:t>
        </w:r>
      </w:hyperlink>
      <w:r>
        <w:t xml:space="preserve">.</w:t>
      </w:r>
    </w:p>
    <w:bookmarkEnd w:id="89"/>
    <w:bookmarkStart w:id="90" w:name="ref-citation_example"/>
    <w:p>
      <w:pPr>
        <w:pStyle w:val="Bibliography"/>
      </w:pPr>
      <w:r>
        <w:t xml:space="preserve">[15] J. Doe, “Example Citation.”.</w:t>
      </w:r>
    </w:p>
    <w:bookmarkEnd w:id="90"/>
    <w:bookmarkStart w:id="92" w:name="ref-noauthor_pandoc_nodate"/>
    <w:p>
      <w:pPr>
        <w:pStyle w:val="Bibliography"/>
      </w:pPr>
      <w:r>
        <w:t xml:space="preserve">[16] “Pandoc cross references Github issue tracker.” [Online]. Available:</w:t>
      </w:r>
      <w:r>
        <w:t xml:space="preserve"> </w:t>
      </w:r>
      <w:hyperlink r:id="rId91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bookmarkEnd w:id="92"/>
    <w:bookmarkStart w:id="94" w:name="ref-noauthor_googlegroups_nodate"/>
    <w:p>
      <w:pPr>
        <w:pStyle w:val="Bibliography"/>
      </w:pPr>
      <w:r>
        <w:t xml:space="preserve">[17] “GoogleGroups.” Accessed: Jan. 08, 2016. [Online]. Available:</w:t>
      </w:r>
      <w:r>
        <w:t xml:space="preserve"> </w:t>
      </w:r>
      <w:hyperlink r:id="rId93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bookmarkEnd w:id="94"/>
    <w:bookmarkStart w:id="96" w:name="ref-duck_github_nodate"/>
    <w:p>
      <w:pPr>
        <w:pStyle w:val="Bibliography"/>
      </w:pPr>
      <w:r>
        <w:t xml:space="preserve">[18] T. Duck, “Github repositories of Tom Duck.” Accessed: Jan. 09, 2016. [Online]. Available:</w:t>
      </w:r>
      <w:r>
        <w:t xml:space="preserve"> </w:t>
      </w:r>
      <w:hyperlink r:id="rId95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bookmarkEnd w:id="96"/>
    <w:bookmarkStart w:id="98" w:name="ref-noauthor_pandoc_nodate-1"/>
    <w:p>
      <w:pPr>
        <w:pStyle w:val="Bibliography"/>
      </w:pPr>
      <w:r>
        <w:t xml:space="preserve">[19] “Pandoc README.” Accessed: Jan. 08, 2016. [Online]. Available:</w:t>
      </w:r>
      <w:r>
        <w:t xml:space="preserve"> </w:t>
      </w:r>
      <w:hyperlink r:id="rId9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may be more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_nodate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noauthor_pandoc_nodate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45" Target="media/rId45.pn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 and Pandoc</dc:title>
  <dc:creator/>
  <cp:category>blog</cp:category>
  <cp:keywords/>
  <dcterms:created xsi:type="dcterms:W3CDTF">2020-06-07T10:16:28Z</dcterms:created>
  <dcterms:modified xsi:type="dcterms:W3CDTF">2020-06-07T10:16:28Z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Recently, I’ve had several people ask me about the Markdown workflow I use to write papers. I figured I’d use this post to write about my workflow and my resources on this topic.</vt:lpwstr>
  </property>
  <property fmtid="{D5CDD505-2E9C-101B-9397-08002B2CF9AE}" pid="3" name="bibliography">
    <vt:lpwstr>blog.bib</vt:lpwstr>
  </property>
  <property fmtid="{D5CDD505-2E9C-101B-9397-08002B2CF9AE}" pid="4" name="csl">
    <vt:lpwstr>./downloads/ieee.csl</vt:lpwstr>
  </property>
  <property fmtid="{D5CDD505-2E9C-101B-9397-08002B2CF9AE}" pid="5" name="date">
    <vt:lpwstr>2015-12-20T00:00:00-06:00</vt:lpwstr>
  </property>
  <property fmtid="{D5CDD505-2E9C-101B-9397-08002B2CF9AE}" pid="6" name="filters">
    <vt:lpwstr/>
  </property>
  <property fmtid="{D5CDD505-2E9C-101B-9397-08002B2CF9AE}" pid="7" name="link-citations">
    <vt:lpwstr>True</vt:lpwstr>
  </property>
  <property fmtid="{D5CDD505-2E9C-101B-9397-08002B2CF9AE}" pid="8" name="references">
    <vt:lpwstr/>
  </property>
  <property fmtid="{D5CDD505-2E9C-101B-9397-08002B2CF9AE}" pid="9" name="slug">
    <vt:lpwstr>writing-papers-with-markdown</vt:lpwstr>
  </property>
  <property fmtid="{D5CDD505-2E9C-101B-9397-08002B2CF9AE}" pid="10" name="summary">
    <vt:lpwstr>Use Markdown and Pandoc for technical writing</vt:lpwstr>
  </property>
  <property fmtid="{D5CDD505-2E9C-101B-9397-08002B2CF9AE}" pid="11" name="tags">
    <vt:lpwstr>markdown, writing</vt:lpwstr>
  </property>
</Properties>
</file>