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F5A3A" w14:textId="54694240" w:rsidR="0080538B" w:rsidRPr="0080538B" w:rsidRDefault="0080538B" w:rsidP="005C5F0F">
      <w:pPr>
        <w:spacing w:line="240" w:lineRule="auto"/>
        <w:rPr>
          <w:sz w:val="22"/>
          <w:szCs w:val="22"/>
        </w:rPr>
      </w:pPr>
      <w:r w:rsidRPr="0080538B">
        <w:rPr>
          <w:i/>
          <w:iCs/>
          <w:sz w:val="22"/>
          <w:szCs w:val="22"/>
        </w:rPr>
        <w:t>Financial Health Analysis of Beyond Meat, Inc. (20</w:t>
      </w:r>
      <w:r w:rsidRPr="00CC172E">
        <w:rPr>
          <w:i/>
          <w:iCs/>
          <w:sz w:val="22"/>
          <w:szCs w:val="22"/>
        </w:rPr>
        <w:t>21</w:t>
      </w:r>
      <w:r w:rsidRPr="0080538B">
        <w:rPr>
          <w:i/>
          <w:iCs/>
          <w:sz w:val="22"/>
          <w:szCs w:val="22"/>
        </w:rPr>
        <w:t>–20</w:t>
      </w:r>
      <w:r w:rsidRPr="00CC172E">
        <w:rPr>
          <w:i/>
          <w:iCs/>
          <w:sz w:val="22"/>
          <w:szCs w:val="22"/>
        </w:rPr>
        <w:t>24</w:t>
      </w:r>
      <w:r w:rsidRPr="0080538B">
        <w:rPr>
          <w:i/>
          <w:iCs/>
          <w:sz w:val="22"/>
          <w:szCs w:val="22"/>
        </w:rPr>
        <w:t>)</w:t>
      </w:r>
      <w:r w:rsidRPr="0080538B">
        <w:rPr>
          <w:sz w:val="22"/>
          <w:szCs w:val="22"/>
        </w:rPr>
        <w:br/>
      </w:r>
      <w:r w:rsidRPr="0080538B">
        <w:rPr>
          <w:b/>
          <w:bCs/>
          <w:sz w:val="22"/>
          <w:szCs w:val="22"/>
        </w:rPr>
        <w:t>Analyst:</w:t>
      </w:r>
      <w:r w:rsidRPr="0080538B">
        <w:rPr>
          <w:sz w:val="22"/>
          <w:szCs w:val="22"/>
        </w:rPr>
        <w:t xml:space="preserve"> </w:t>
      </w:r>
      <w:r w:rsidRPr="00CC172E">
        <w:rPr>
          <w:sz w:val="22"/>
          <w:szCs w:val="22"/>
        </w:rPr>
        <w:t>Krastiu Dimov</w:t>
      </w:r>
      <w:r w:rsidRPr="0080538B">
        <w:rPr>
          <w:sz w:val="22"/>
          <w:szCs w:val="22"/>
        </w:rPr>
        <w:br/>
      </w:r>
      <w:r w:rsidRPr="0080538B">
        <w:rPr>
          <w:b/>
          <w:bCs/>
          <w:sz w:val="22"/>
          <w:szCs w:val="22"/>
        </w:rPr>
        <w:t>Tools Used:</w:t>
      </w:r>
      <w:r w:rsidRPr="0080538B">
        <w:rPr>
          <w:sz w:val="22"/>
          <w:szCs w:val="22"/>
        </w:rPr>
        <w:t xml:space="preserve"> Python, SQL, Power BI</w:t>
      </w:r>
      <w:r w:rsidRPr="00CC172E">
        <w:rPr>
          <w:sz w:val="22"/>
          <w:szCs w:val="22"/>
        </w:rPr>
        <w:t>, Excel</w:t>
      </w:r>
    </w:p>
    <w:p w14:paraId="373533B2" w14:textId="77777777" w:rsidR="0080538B" w:rsidRPr="0080538B" w:rsidRDefault="00000000" w:rsidP="005C5F0F">
      <w:pPr>
        <w:spacing w:line="240" w:lineRule="auto"/>
        <w:rPr>
          <w:sz w:val="22"/>
          <w:szCs w:val="22"/>
        </w:rPr>
      </w:pPr>
      <w:r>
        <w:rPr>
          <w:sz w:val="22"/>
          <w:szCs w:val="22"/>
        </w:rPr>
        <w:pict w14:anchorId="7F6BE062">
          <v:rect id="_x0000_i1025" style="width:0;height:1.5pt" o:hralign="center" o:hrstd="t" o:hr="t" fillcolor="#a0a0a0" stroked="f"/>
        </w:pict>
      </w:r>
    </w:p>
    <w:p w14:paraId="0F0CF83A" w14:textId="21696A38" w:rsidR="0080538B" w:rsidRPr="0080538B" w:rsidRDefault="0080538B" w:rsidP="005C5F0F">
      <w:pPr>
        <w:spacing w:line="240" w:lineRule="auto"/>
        <w:rPr>
          <w:b/>
          <w:bCs/>
        </w:rPr>
      </w:pPr>
      <w:r w:rsidRPr="0080538B">
        <w:rPr>
          <w:b/>
          <w:bCs/>
        </w:rPr>
        <w:t>Executive Summary</w:t>
      </w:r>
    </w:p>
    <w:p w14:paraId="7F9B8443" w14:textId="3ECF3D1B" w:rsidR="0080538B" w:rsidRPr="0080538B" w:rsidRDefault="0080538B" w:rsidP="005C5F0F">
      <w:pPr>
        <w:spacing w:line="240" w:lineRule="auto"/>
        <w:rPr>
          <w:sz w:val="22"/>
          <w:szCs w:val="22"/>
        </w:rPr>
      </w:pPr>
      <w:r w:rsidRPr="0080538B">
        <w:rPr>
          <w:b/>
          <w:bCs/>
          <w:sz w:val="22"/>
          <w:szCs w:val="22"/>
        </w:rPr>
        <w:t>Purpose:</w:t>
      </w:r>
      <w:r w:rsidRPr="0080538B">
        <w:rPr>
          <w:sz w:val="22"/>
          <w:szCs w:val="22"/>
        </w:rPr>
        <w:br/>
      </w:r>
      <w:r w:rsidR="0006125A" w:rsidRPr="0006125A">
        <w:rPr>
          <w:sz w:val="22"/>
          <w:szCs w:val="22"/>
        </w:rPr>
        <w:t>This report presents a comprehensive financial analysis of Beyond Meat, Inc. from 2021-2024, evaluating the company's financial health, identifying critical stress points, and providing actionable recommendations for improvement.</w:t>
      </w:r>
    </w:p>
    <w:p w14:paraId="0C2DEB37" w14:textId="0F4C1228" w:rsidR="0080538B" w:rsidRDefault="0080538B" w:rsidP="005C5F0F">
      <w:pPr>
        <w:spacing w:line="240" w:lineRule="auto"/>
        <w:rPr>
          <w:b/>
          <w:bCs/>
          <w:sz w:val="22"/>
          <w:szCs w:val="22"/>
        </w:rPr>
      </w:pPr>
      <w:r w:rsidRPr="0080538B">
        <w:rPr>
          <w:b/>
          <w:bCs/>
          <w:sz w:val="22"/>
          <w:szCs w:val="22"/>
        </w:rPr>
        <w:t>Key Findings</w:t>
      </w:r>
      <w:r w:rsidRPr="00CC172E">
        <w:rPr>
          <w:b/>
          <w:bCs/>
          <w:sz w:val="22"/>
          <w:szCs w:val="22"/>
        </w:rPr>
        <w:t>:</w:t>
      </w:r>
    </w:p>
    <w:p w14:paraId="2A628A73" w14:textId="79302BBB" w:rsidR="0006125A" w:rsidRPr="0006125A" w:rsidRDefault="0006125A" w:rsidP="0006125A">
      <w:pPr>
        <w:pStyle w:val="ListParagraph"/>
        <w:numPr>
          <w:ilvl w:val="0"/>
          <w:numId w:val="23"/>
        </w:numPr>
        <w:spacing w:line="240" w:lineRule="auto"/>
        <w:rPr>
          <w:sz w:val="22"/>
          <w:szCs w:val="22"/>
        </w:rPr>
      </w:pPr>
      <w:r w:rsidRPr="0006125A">
        <w:rPr>
          <w:b/>
          <w:bCs/>
          <w:sz w:val="22"/>
          <w:szCs w:val="22"/>
        </w:rPr>
        <w:t>Severe Profitability Crisis:</w:t>
      </w:r>
      <w:r w:rsidRPr="0006125A">
        <w:rPr>
          <w:sz w:val="22"/>
          <w:szCs w:val="22"/>
        </w:rPr>
        <w:t xml:space="preserve"> Beyond Meat faces persistent profitability challenges with declining revenue (18% drop from 2022-2023) and consistently negative operating margins. Though gross margin improved from -24% in 2023 to 13% in 2024, the company continues to operate at significant losses with a net margin of -49% in the most recent year.</w:t>
      </w:r>
    </w:p>
    <w:p w14:paraId="216627E2" w14:textId="77777777" w:rsidR="0006125A" w:rsidRPr="0006125A" w:rsidRDefault="0006125A" w:rsidP="0006125A">
      <w:pPr>
        <w:numPr>
          <w:ilvl w:val="0"/>
          <w:numId w:val="23"/>
        </w:numPr>
        <w:spacing w:line="240" w:lineRule="auto"/>
        <w:rPr>
          <w:sz w:val="22"/>
          <w:szCs w:val="22"/>
        </w:rPr>
      </w:pPr>
      <w:r w:rsidRPr="0006125A">
        <w:rPr>
          <w:b/>
          <w:bCs/>
          <w:sz w:val="22"/>
          <w:szCs w:val="22"/>
        </w:rPr>
        <w:t>Deteriorating Financial Structure:</w:t>
      </w:r>
      <w:r w:rsidRPr="0006125A">
        <w:rPr>
          <w:sz w:val="22"/>
          <w:szCs w:val="22"/>
        </w:rPr>
        <w:t xml:space="preserve"> The company's balance sheet has weakened substantially, with liabilities now exceeding total assets (debt ratio of 1.8 in 2024). Negative shareholder equity and high leverage ratios indicate critical solvency concerns that threaten long-term viability.</w:t>
      </w:r>
    </w:p>
    <w:p w14:paraId="6714D53A" w14:textId="6DE60A71" w:rsidR="0006125A" w:rsidRPr="0006125A" w:rsidRDefault="0006125A" w:rsidP="0006125A">
      <w:pPr>
        <w:numPr>
          <w:ilvl w:val="0"/>
          <w:numId w:val="23"/>
        </w:numPr>
        <w:spacing w:line="240" w:lineRule="auto"/>
        <w:rPr>
          <w:sz w:val="22"/>
          <w:szCs w:val="22"/>
        </w:rPr>
      </w:pPr>
      <w:r w:rsidRPr="0006125A">
        <w:rPr>
          <w:b/>
          <w:bCs/>
          <w:sz w:val="22"/>
          <w:szCs w:val="22"/>
        </w:rPr>
        <w:t>Cash Sustainability Concerns:</w:t>
      </w:r>
      <w:r w:rsidRPr="0006125A">
        <w:rPr>
          <w:sz w:val="22"/>
          <w:szCs w:val="22"/>
        </w:rPr>
        <w:t xml:space="preserve"> Despite some operational improvements, Beyond Meat continues to generate negative free cash flow across all </w:t>
      </w:r>
      <w:r w:rsidRPr="0006125A">
        <w:rPr>
          <w:sz w:val="22"/>
          <w:szCs w:val="22"/>
        </w:rPr>
        <w:t>the years</w:t>
      </w:r>
      <w:r w:rsidRPr="0006125A">
        <w:rPr>
          <w:sz w:val="22"/>
          <w:szCs w:val="22"/>
        </w:rPr>
        <w:t xml:space="preserve"> analyzed. The declining ratio of operating cash flow to net income (from 1.65 in 2021 to 0.62 in 2024) signals weakening ability to convert accounting results to actual cash generation.</w:t>
      </w:r>
    </w:p>
    <w:p w14:paraId="254500E4" w14:textId="77777777" w:rsidR="0006125A" w:rsidRPr="0006125A" w:rsidRDefault="0006125A" w:rsidP="0006125A">
      <w:pPr>
        <w:spacing w:line="240" w:lineRule="auto"/>
        <w:rPr>
          <w:sz w:val="22"/>
          <w:szCs w:val="22"/>
        </w:rPr>
      </w:pPr>
      <w:r w:rsidRPr="0006125A">
        <w:rPr>
          <w:b/>
          <w:bCs/>
          <w:sz w:val="22"/>
          <w:szCs w:val="22"/>
        </w:rPr>
        <w:t>Overall Assessment:</w:t>
      </w:r>
      <w:r w:rsidRPr="0006125A">
        <w:rPr>
          <w:sz w:val="22"/>
          <w:szCs w:val="22"/>
        </w:rPr>
        <w:t xml:space="preserve"> Beyond Meat faces imminent financial distress requiring urgent intervention. While recent gross margin improvements and inventory management show potential signs of stabilization, the company's overall financial trajectory remains unsustainable without significant strategic shifts in both operations and capital structure.</w:t>
      </w:r>
    </w:p>
    <w:p w14:paraId="2BDFCDDB" w14:textId="77777777" w:rsidR="0006125A" w:rsidRPr="0080538B" w:rsidRDefault="0006125A" w:rsidP="005C5F0F">
      <w:pPr>
        <w:spacing w:line="240" w:lineRule="auto"/>
        <w:rPr>
          <w:sz w:val="22"/>
          <w:szCs w:val="22"/>
        </w:rPr>
      </w:pPr>
    </w:p>
    <w:p w14:paraId="7ADB2E9D" w14:textId="77777777" w:rsidR="0080538B" w:rsidRPr="0080538B" w:rsidRDefault="00000000" w:rsidP="005C5F0F">
      <w:pPr>
        <w:spacing w:line="240" w:lineRule="auto"/>
        <w:rPr>
          <w:sz w:val="22"/>
          <w:szCs w:val="22"/>
        </w:rPr>
      </w:pPr>
      <w:r>
        <w:rPr>
          <w:sz w:val="22"/>
          <w:szCs w:val="22"/>
        </w:rPr>
        <w:pict w14:anchorId="688C0935">
          <v:rect id="_x0000_i1026" style="width:0;height:1.5pt" o:hralign="center" o:hrstd="t" o:hr="t" fillcolor="#a0a0a0" stroked="f"/>
        </w:pict>
      </w:r>
    </w:p>
    <w:p w14:paraId="45984195" w14:textId="4000684D" w:rsidR="0080538B" w:rsidRPr="0080538B" w:rsidRDefault="0080538B" w:rsidP="005C5F0F">
      <w:pPr>
        <w:spacing w:line="240" w:lineRule="auto"/>
        <w:rPr>
          <w:b/>
          <w:bCs/>
        </w:rPr>
      </w:pPr>
      <w:r w:rsidRPr="0080538B">
        <w:rPr>
          <w:b/>
          <w:bCs/>
        </w:rPr>
        <w:t>Objective &amp; Approach</w:t>
      </w:r>
    </w:p>
    <w:p w14:paraId="7D18D767" w14:textId="77777777" w:rsidR="0080538B" w:rsidRPr="0080538B" w:rsidRDefault="0080538B" w:rsidP="005C5F0F">
      <w:pPr>
        <w:spacing w:line="240" w:lineRule="auto"/>
        <w:rPr>
          <w:sz w:val="22"/>
          <w:szCs w:val="22"/>
        </w:rPr>
      </w:pPr>
      <w:r w:rsidRPr="0080538B">
        <w:rPr>
          <w:b/>
          <w:bCs/>
          <w:sz w:val="22"/>
          <w:szCs w:val="22"/>
        </w:rPr>
        <w:t>Objective:</w:t>
      </w:r>
      <w:r w:rsidRPr="0080538B">
        <w:rPr>
          <w:sz w:val="22"/>
          <w:szCs w:val="22"/>
        </w:rPr>
        <w:br/>
        <w:t>To evaluate Beyond Meat’s financial health using key financial statements, uncover trends and red flags, and provide data-backed recommendations for improvement.</w:t>
      </w:r>
    </w:p>
    <w:p w14:paraId="3D0C884C" w14:textId="77777777" w:rsidR="0080538B" w:rsidRPr="0080538B" w:rsidRDefault="0080538B" w:rsidP="005C5F0F">
      <w:pPr>
        <w:spacing w:line="240" w:lineRule="auto"/>
        <w:rPr>
          <w:sz w:val="22"/>
          <w:szCs w:val="22"/>
        </w:rPr>
      </w:pPr>
      <w:r w:rsidRPr="0080538B">
        <w:rPr>
          <w:b/>
          <w:bCs/>
          <w:sz w:val="22"/>
          <w:szCs w:val="22"/>
        </w:rPr>
        <w:t>Business Questions:</w:t>
      </w:r>
    </w:p>
    <w:p w14:paraId="24D5AB72" w14:textId="77777777" w:rsidR="0080538B" w:rsidRPr="0080538B" w:rsidRDefault="0080538B" w:rsidP="005C5F0F">
      <w:pPr>
        <w:numPr>
          <w:ilvl w:val="0"/>
          <w:numId w:val="2"/>
        </w:numPr>
        <w:spacing w:line="240" w:lineRule="auto"/>
        <w:rPr>
          <w:sz w:val="22"/>
          <w:szCs w:val="22"/>
        </w:rPr>
      </w:pPr>
      <w:r w:rsidRPr="0080538B">
        <w:rPr>
          <w:sz w:val="22"/>
          <w:szCs w:val="22"/>
        </w:rPr>
        <w:t>Is Beyond Meat financially sustainable in the short and long term?</w:t>
      </w:r>
    </w:p>
    <w:p w14:paraId="341EF41B" w14:textId="77777777" w:rsidR="0080538B" w:rsidRPr="0080538B" w:rsidRDefault="0080538B" w:rsidP="005C5F0F">
      <w:pPr>
        <w:numPr>
          <w:ilvl w:val="0"/>
          <w:numId w:val="2"/>
        </w:numPr>
        <w:spacing w:line="240" w:lineRule="auto"/>
        <w:rPr>
          <w:sz w:val="22"/>
          <w:szCs w:val="22"/>
        </w:rPr>
      </w:pPr>
      <w:r w:rsidRPr="0080538B">
        <w:rPr>
          <w:sz w:val="22"/>
          <w:szCs w:val="22"/>
        </w:rPr>
        <w:t>What areas of the business are contributing to financial decline?</w:t>
      </w:r>
    </w:p>
    <w:p w14:paraId="2287726C" w14:textId="77777777" w:rsidR="0080538B" w:rsidRPr="0080538B" w:rsidRDefault="0080538B" w:rsidP="005C5F0F">
      <w:pPr>
        <w:numPr>
          <w:ilvl w:val="0"/>
          <w:numId w:val="2"/>
        </w:numPr>
        <w:spacing w:line="240" w:lineRule="auto"/>
        <w:rPr>
          <w:sz w:val="22"/>
          <w:szCs w:val="22"/>
        </w:rPr>
      </w:pPr>
      <w:r w:rsidRPr="0080538B">
        <w:rPr>
          <w:sz w:val="22"/>
          <w:szCs w:val="22"/>
        </w:rPr>
        <w:t>How has liquidity, solvency, and profitability changed over time?</w:t>
      </w:r>
    </w:p>
    <w:p w14:paraId="413D5F11" w14:textId="77777777" w:rsidR="0080538B" w:rsidRPr="0080538B" w:rsidRDefault="0080538B" w:rsidP="005C5F0F">
      <w:pPr>
        <w:spacing w:line="240" w:lineRule="auto"/>
        <w:rPr>
          <w:sz w:val="22"/>
          <w:szCs w:val="22"/>
        </w:rPr>
      </w:pPr>
      <w:r w:rsidRPr="0080538B">
        <w:rPr>
          <w:b/>
          <w:bCs/>
          <w:sz w:val="22"/>
          <w:szCs w:val="22"/>
        </w:rPr>
        <w:t>Tools &amp; Methods:</w:t>
      </w:r>
    </w:p>
    <w:p w14:paraId="23C57CFD" w14:textId="36EA9B33" w:rsidR="0080538B" w:rsidRDefault="0080538B" w:rsidP="005C5F0F">
      <w:pPr>
        <w:numPr>
          <w:ilvl w:val="0"/>
          <w:numId w:val="3"/>
        </w:numPr>
        <w:spacing w:line="240" w:lineRule="auto"/>
        <w:rPr>
          <w:sz w:val="22"/>
          <w:szCs w:val="22"/>
        </w:rPr>
      </w:pPr>
      <w:r w:rsidRPr="0080538B">
        <w:rPr>
          <w:b/>
          <w:bCs/>
          <w:sz w:val="22"/>
          <w:szCs w:val="22"/>
        </w:rPr>
        <w:lastRenderedPageBreak/>
        <w:t>Python</w:t>
      </w:r>
      <w:r w:rsidRPr="0080538B">
        <w:rPr>
          <w:sz w:val="22"/>
          <w:szCs w:val="22"/>
        </w:rPr>
        <w:t xml:space="preserve"> for data ingestion</w:t>
      </w:r>
    </w:p>
    <w:p w14:paraId="102D8EE2" w14:textId="04D51065" w:rsidR="00CC172E" w:rsidRPr="0080538B" w:rsidRDefault="00CC172E" w:rsidP="005C5F0F">
      <w:pPr>
        <w:numPr>
          <w:ilvl w:val="0"/>
          <w:numId w:val="3"/>
        </w:numPr>
        <w:spacing w:line="240" w:lineRule="auto"/>
        <w:rPr>
          <w:sz w:val="22"/>
          <w:szCs w:val="22"/>
        </w:rPr>
      </w:pPr>
      <w:r w:rsidRPr="0080538B">
        <w:rPr>
          <w:b/>
          <w:bCs/>
          <w:sz w:val="22"/>
          <w:szCs w:val="22"/>
        </w:rPr>
        <w:t>SQL</w:t>
      </w:r>
      <w:r w:rsidRPr="0080538B">
        <w:rPr>
          <w:sz w:val="22"/>
          <w:szCs w:val="22"/>
        </w:rPr>
        <w:t xml:space="preserve"> to clean and calculate key ratios and trends</w:t>
      </w:r>
    </w:p>
    <w:p w14:paraId="6A58ACD5" w14:textId="314C82C4" w:rsidR="0080538B" w:rsidRPr="0080538B" w:rsidRDefault="0080538B" w:rsidP="005C5F0F">
      <w:pPr>
        <w:numPr>
          <w:ilvl w:val="0"/>
          <w:numId w:val="3"/>
        </w:numPr>
        <w:spacing w:line="240" w:lineRule="auto"/>
        <w:rPr>
          <w:sz w:val="22"/>
          <w:szCs w:val="22"/>
        </w:rPr>
      </w:pPr>
      <w:r w:rsidRPr="0080538B">
        <w:rPr>
          <w:b/>
          <w:bCs/>
          <w:sz w:val="22"/>
          <w:szCs w:val="22"/>
        </w:rPr>
        <w:t>Power BI</w:t>
      </w:r>
      <w:r w:rsidRPr="0080538B">
        <w:rPr>
          <w:sz w:val="22"/>
          <w:szCs w:val="22"/>
        </w:rPr>
        <w:t xml:space="preserve"> to visualize metrics, KPIs, and year-over-year changes</w:t>
      </w:r>
    </w:p>
    <w:p w14:paraId="66EB46B0" w14:textId="77777777" w:rsidR="0080538B" w:rsidRPr="0080538B" w:rsidRDefault="00000000" w:rsidP="005C5F0F">
      <w:pPr>
        <w:spacing w:line="240" w:lineRule="auto"/>
        <w:rPr>
          <w:sz w:val="22"/>
          <w:szCs w:val="22"/>
        </w:rPr>
      </w:pPr>
      <w:r>
        <w:rPr>
          <w:sz w:val="22"/>
          <w:szCs w:val="22"/>
        </w:rPr>
        <w:pict w14:anchorId="5F4A2EF6">
          <v:rect id="_x0000_i1027" style="width:0;height:1.5pt" o:hralign="center" o:hrstd="t" o:hr="t" fillcolor="#a0a0a0" stroked="f"/>
        </w:pict>
      </w:r>
    </w:p>
    <w:p w14:paraId="6B03A993" w14:textId="28D537E1" w:rsidR="0080538B" w:rsidRPr="0030428A" w:rsidRDefault="0080538B" w:rsidP="005C5F0F">
      <w:pPr>
        <w:spacing w:line="240" w:lineRule="auto"/>
        <w:rPr>
          <w:b/>
          <w:bCs/>
        </w:rPr>
      </w:pPr>
      <w:r w:rsidRPr="0030428A">
        <w:rPr>
          <w:b/>
          <w:bCs/>
        </w:rPr>
        <w:t>Data &amp; Methodology</w:t>
      </w:r>
    </w:p>
    <w:p w14:paraId="068D4BDD" w14:textId="77777777" w:rsidR="0080538B" w:rsidRPr="0080538B" w:rsidRDefault="0080538B" w:rsidP="005C5F0F">
      <w:pPr>
        <w:spacing w:line="240" w:lineRule="auto"/>
        <w:rPr>
          <w:sz w:val="22"/>
          <w:szCs w:val="22"/>
        </w:rPr>
      </w:pPr>
      <w:r w:rsidRPr="0080538B">
        <w:rPr>
          <w:b/>
          <w:bCs/>
          <w:sz w:val="22"/>
          <w:szCs w:val="22"/>
        </w:rPr>
        <w:t>Data Sources:</w:t>
      </w:r>
    </w:p>
    <w:p w14:paraId="75A420A5" w14:textId="7167AC5E" w:rsidR="0080538B" w:rsidRPr="0080538B" w:rsidRDefault="0080538B" w:rsidP="005C5F0F">
      <w:pPr>
        <w:numPr>
          <w:ilvl w:val="0"/>
          <w:numId w:val="4"/>
        </w:numPr>
        <w:spacing w:line="240" w:lineRule="auto"/>
        <w:rPr>
          <w:sz w:val="22"/>
          <w:szCs w:val="22"/>
        </w:rPr>
      </w:pPr>
      <w:r w:rsidRPr="0080538B">
        <w:rPr>
          <w:sz w:val="22"/>
          <w:szCs w:val="22"/>
        </w:rPr>
        <w:t>Balance Sheet, Income Statement, and Cash Flow Statement from 20</w:t>
      </w:r>
      <w:r w:rsidR="00CC172E">
        <w:rPr>
          <w:sz w:val="22"/>
          <w:szCs w:val="22"/>
        </w:rPr>
        <w:t>20</w:t>
      </w:r>
      <w:r w:rsidRPr="0080538B">
        <w:rPr>
          <w:sz w:val="22"/>
          <w:szCs w:val="22"/>
        </w:rPr>
        <w:t xml:space="preserve"> to 202</w:t>
      </w:r>
      <w:r w:rsidR="00CC172E">
        <w:rPr>
          <w:sz w:val="22"/>
          <w:szCs w:val="22"/>
        </w:rPr>
        <w:t>4</w:t>
      </w:r>
      <w:r w:rsidRPr="0080538B">
        <w:rPr>
          <w:sz w:val="22"/>
          <w:szCs w:val="22"/>
        </w:rPr>
        <w:t xml:space="preserve"> (CSV files </w:t>
      </w:r>
      <w:r w:rsidR="00CC172E">
        <w:rPr>
          <w:sz w:val="22"/>
          <w:szCs w:val="22"/>
        </w:rPr>
        <w:t>provided by company</w:t>
      </w:r>
      <w:r w:rsidRPr="0080538B">
        <w:rPr>
          <w:sz w:val="22"/>
          <w:szCs w:val="22"/>
        </w:rPr>
        <w:t>)</w:t>
      </w:r>
    </w:p>
    <w:p w14:paraId="34853F18" w14:textId="77777777" w:rsidR="0080538B" w:rsidRDefault="0080538B" w:rsidP="005C5F0F">
      <w:pPr>
        <w:spacing w:line="240" w:lineRule="auto"/>
        <w:rPr>
          <w:b/>
          <w:bCs/>
          <w:sz w:val="22"/>
          <w:szCs w:val="22"/>
        </w:rPr>
      </w:pPr>
      <w:r w:rsidRPr="0080538B">
        <w:rPr>
          <w:b/>
          <w:bCs/>
          <w:sz w:val="22"/>
          <w:szCs w:val="22"/>
        </w:rPr>
        <w:t>Data Cleaning:</w:t>
      </w:r>
    </w:p>
    <w:p w14:paraId="0B34A593" w14:textId="5AD3009B" w:rsidR="00CC172E" w:rsidRPr="00CC172E" w:rsidRDefault="00CC172E" w:rsidP="005C5F0F">
      <w:pPr>
        <w:pStyle w:val="ListParagraph"/>
        <w:numPr>
          <w:ilvl w:val="0"/>
          <w:numId w:val="22"/>
        </w:numPr>
        <w:spacing w:line="240" w:lineRule="auto"/>
        <w:rPr>
          <w:sz w:val="22"/>
          <w:szCs w:val="22"/>
        </w:rPr>
      </w:pPr>
      <w:r>
        <w:rPr>
          <w:sz w:val="22"/>
          <w:szCs w:val="22"/>
        </w:rPr>
        <w:t>Null values removed for increase</w:t>
      </w:r>
      <w:r w:rsidR="0030428A">
        <w:rPr>
          <w:sz w:val="22"/>
          <w:szCs w:val="22"/>
        </w:rPr>
        <w:t>d</w:t>
      </w:r>
      <w:r>
        <w:rPr>
          <w:sz w:val="22"/>
          <w:szCs w:val="22"/>
        </w:rPr>
        <w:t xml:space="preserve"> clarity</w:t>
      </w:r>
    </w:p>
    <w:p w14:paraId="76D25DF2" w14:textId="6717735D" w:rsidR="0080538B" w:rsidRPr="0080538B" w:rsidRDefault="00CC172E" w:rsidP="005C5F0F">
      <w:pPr>
        <w:numPr>
          <w:ilvl w:val="0"/>
          <w:numId w:val="5"/>
        </w:numPr>
        <w:spacing w:line="240" w:lineRule="auto"/>
        <w:rPr>
          <w:sz w:val="22"/>
          <w:szCs w:val="22"/>
        </w:rPr>
      </w:pPr>
      <w:r>
        <w:rPr>
          <w:sz w:val="22"/>
          <w:szCs w:val="22"/>
        </w:rPr>
        <w:t>Column names standardized for uniform exploration analysis</w:t>
      </w:r>
    </w:p>
    <w:p w14:paraId="7F6B1222" w14:textId="0E6775A4" w:rsidR="0080538B" w:rsidRDefault="0080538B" w:rsidP="005C5F0F">
      <w:pPr>
        <w:numPr>
          <w:ilvl w:val="0"/>
          <w:numId w:val="5"/>
        </w:numPr>
        <w:spacing w:line="240" w:lineRule="auto"/>
        <w:rPr>
          <w:sz w:val="22"/>
          <w:szCs w:val="22"/>
        </w:rPr>
      </w:pPr>
      <w:r w:rsidRPr="0080538B">
        <w:rPr>
          <w:sz w:val="22"/>
          <w:szCs w:val="22"/>
        </w:rPr>
        <w:t xml:space="preserve">Dates normalized to </w:t>
      </w:r>
      <w:r w:rsidR="00CC172E">
        <w:rPr>
          <w:sz w:val="22"/>
          <w:szCs w:val="22"/>
        </w:rPr>
        <w:t>yearly intervals</w:t>
      </w:r>
    </w:p>
    <w:p w14:paraId="2A37F292" w14:textId="52F7017B" w:rsidR="00CC172E" w:rsidRPr="0080538B" w:rsidRDefault="0030428A" w:rsidP="005C5F0F">
      <w:pPr>
        <w:numPr>
          <w:ilvl w:val="0"/>
          <w:numId w:val="5"/>
        </w:numPr>
        <w:spacing w:line="240" w:lineRule="auto"/>
        <w:rPr>
          <w:sz w:val="22"/>
          <w:szCs w:val="22"/>
        </w:rPr>
      </w:pPr>
      <w:r>
        <w:rPr>
          <w:sz w:val="22"/>
          <w:szCs w:val="22"/>
        </w:rPr>
        <w:t>I</w:t>
      </w:r>
      <w:r w:rsidR="00CC172E">
        <w:rPr>
          <w:sz w:val="22"/>
          <w:szCs w:val="22"/>
        </w:rPr>
        <w:t xml:space="preserve">nventory column </w:t>
      </w:r>
      <w:r>
        <w:rPr>
          <w:sz w:val="22"/>
          <w:szCs w:val="22"/>
        </w:rPr>
        <w:t xml:space="preserve">added </w:t>
      </w:r>
      <w:r w:rsidR="00CC172E">
        <w:rPr>
          <w:sz w:val="22"/>
          <w:szCs w:val="22"/>
        </w:rPr>
        <w:t xml:space="preserve">for </w:t>
      </w:r>
      <w:r>
        <w:rPr>
          <w:sz w:val="22"/>
          <w:szCs w:val="22"/>
        </w:rPr>
        <w:t>greater</w:t>
      </w:r>
      <w:r w:rsidR="00CC172E">
        <w:rPr>
          <w:sz w:val="22"/>
          <w:szCs w:val="22"/>
        </w:rPr>
        <w:t xml:space="preserve"> financial depth of analysis</w:t>
      </w:r>
    </w:p>
    <w:p w14:paraId="49A3A10E" w14:textId="7A028AFD" w:rsidR="0080538B" w:rsidRPr="0080538B" w:rsidRDefault="0030428A" w:rsidP="005C5F0F">
      <w:pPr>
        <w:numPr>
          <w:ilvl w:val="0"/>
          <w:numId w:val="5"/>
        </w:numPr>
        <w:spacing w:line="240" w:lineRule="auto"/>
        <w:rPr>
          <w:sz w:val="22"/>
          <w:szCs w:val="22"/>
        </w:rPr>
      </w:pPr>
      <w:r>
        <w:rPr>
          <w:sz w:val="22"/>
          <w:szCs w:val="22"/>
        </w:rPr>
        <w:t>Financial</w:t>
      </w:r>
      <w:r w:rsidR="0080538B" w:rsidRPr="0080538B">
        <w:rPr>
          <w:sz w:val="22"/>
          <w:szCs w:val="22"/>
        </w:rPr>
        <w:t xml:space="preserve"> statements</w:t>
      </w:r>
      <w:r>
        <w:rPr>
          <w:sz w:val="22"/>
          <w:szCs w:val="22"/>
        </w:rPr>
        <w:t xml:space="preserve"> merged</w:t>
      </w:r>
      <w:r w:rsidR="0080538B" w:rsidRPr="0080538B">
        <w:rPr>
          <w:sz w:val="22"/>
          <w:szCs w:val="22"/>
        </w:rPr>
        <w:t xml:space="preserve"> using</w:t>
      </w:r>
      <w:r w:rsidR="00CC172E">
        <w:rPr>
          <w:sz w:val="22"/>
          <w:szCs w:val="22"/>
        </w:rPr>
        <w:t xml:space="preserve"> the</w:t>
      </w:r>
      <w:r w:rsidR="0080538B" w:rsidRPr="0080538B">
        <w:rPr>
          <w:sz w:val="22"/>
          <w:szCs w:val="22"/>
        </w:rPr>
        <w:t xml:space="preserve"> fiscal year as key</w:t>
      </w:r>
    </w:p>
    <w:p w14:paraId="256675EC" w14:textId="77777777" w:rsidR="0080538B" w:rsidRPr="0080538B" w:rsidRDefault="0080538B" w:rsidP="005C5F0F">
      <w:pPr>
        <w:spacing w:line="240" w:lineRule="auto"/>
        <w:rPr>
          <w:sz w:val="22"/>
          <w:szCs w:val="22"/>
        </w:rPr>
      </w:pPr>
      <w:r w:rsidRPr="0080538B">
        <w:rPr>
          <w:b/>
          <w:bCs/>
          <w:sz w:val="22"/>
          <w:szCs w:val="22"/>
        </w:rPr>
        <w:t>Key Metrics Calculated:</w:t>
      </w:r>
    </w:p>
    <w:p w14:paraId="66C69E6C" w14:textId="5F7C8111" w:rsidR="0080538B" w:rsidRPr="0080538B" w:rsidRDefault="0080538B" w:rsidP="005C5F0F">
      <w:pPr>
        <w:numPr>
          <w:ilvl w:val="0"/>
          <w:numId w:val="6"/>
        </w:numPr>
        <w:spacing w:line="240" w:lineRule="auto"/>
        <w:rPr>
          <w:sz w:val="22"/>
          <w:szCs w:val="22"/>
        </w:rPr>
      </w:pPr>
      <w:r w:rsidRPr="0080538B">
        <w:rPr>
          <w:b/>
          <w:bCs/>
          <w:sz w:val="22"/>
          <w:szCs w:val="22"/>
        </w:rPr>
        <w:t>Profitability:</w:t>
      </w:r>
      <w:r w:rsidRPr="0080538B">
        <w:rPr>
          <w:sz w:val="22"/>
          <w:szCs w:val="22"/>
        </w:rPr>
        <w:t xml:space="preserve"> Gross Margin, Operating Margin, Net Margin</w:t>
      </w:r>
      <w:r w:rsidR="00C331D3">
        <w:rPr>
          <w:sz w:val="22"/>
          <w:szCs w:val="22"/>
        </w:rPr>
        <w:t>, ROA, ROE</w:t>
      </w:r>
    </w:p>
    <w:p w14:paraId="6CB87E35" w14:textId="77777777" w:rsidR="0080538B" w:rsidRPr="0080538B" w:rsidRDefault="0080538B" w:rsidP="005C5F0F">
      <w:pPr>
        <w:numPr>
          <w:ilvl w:val="0"/>
          <w:numId w:val="6"/>
        </w:numPr>
        <w:spacing w:line="240" w:lineRule="auto"/>
        <w:rPr>
          <w:sz w:val="22"/>
          <w:szCs w:val="22"/>
        </w:rPr>
      </w:pPr>
      <w:r w:rsidRPr="0080538B">
        <w:rPr>
          <w:b/>
          <w:bCs/>
          <w:sz w:val="22"/>
          <w:szCs w:val="22"/>
        </w:rPr>
        <w:t>Liquidity:</w:t>
      </w:r>
      <w:r w:rsidRPr="0080538B">
        <w:rPr>
          <w:sz w:val="22"/>
          <w:szCs w:val="22"/>
        </w:rPr>
        <w:t xml:space="preserve"> Current Ratio, Quick Ratio</w:t>
      </w:r>
    </w:p>
    <w:p w14:paraId="7CCEA372" w14:textId="344BE166" w:rsidR="0080538B" w:rsidRPr="0080538B" w:rsidRDefault="0080538B" w:rsidP="005C5F0F">
      <w:pPr>
        <w:numPr>
          <w:ilvl w:val="0"/>
          <w:numId w:val="6"/>
        </w:numPr>
        <w:spacing w:line="240" w:lineRule="auto"/>
        <w:rPr>
          <w:sz w:val="22"/>
          <w:szCs w:val="22"/>
        </w:rPr>
      </w:pPr>
      <w:r w:rsidRPr="0080538B">
        <w:rPr>
          <w:b/>
          <w:bCs/>
          <w:sz w:val="22"/>
          <w:szCs w:val="22"/>
        </w:rPr>
        <w:t>Solvency:</w:t>
      </w:r>
      <w:r w:rsidRPr="0080538B">
        <w:rPr>
          <w:sz w:val="22"/>
          <w:szCs w:val="22"/>
        </w:rPr>
        <w:t xml:space="preserve"> Debt-to-Equity,</w:t>
      </w:r>
      <w:r w:rsidR="00C331D3">
        <w:rPr>
          <w:sz w:val="22"/>
          <w:szCs w:val="22"/>
        </w:rPr>
        <w:t xml:space="preserve"> Debt, Leverage,</w:t>
      </w:r>
      <w:r w:rsidRPr="0080538B">
        <w:rPr>
          <w:sz w:val="22"/>
          <w:szCs w:val="22"/>
        </w:rPr>
        <w:t xml:space="preserve"> Interest Coverage</w:t>
      </w:r>
      <w:r w:rsidR="00C331D3">
        <w:rPr>
          <w:sz w:val="22"/>
          <w:szCs w:val="22"/>
        </w:rPr>
        <w:t xml:space="preserve"> Ratios</w:t>
      </w:r>
    </w:p>
    <w:p w14:paraId="1E6157B5" w14:textId="2188C140" w:rsidR="0080538B" w:rsidRPr="0080538B" w:rsidRDefault="0080538B" w:rsidP="005C5F0F">
      <w:pPr>
        <w:numPr>
          <w:ilvl w:val="0"/>
          <w:numId w:val="6"/>
        </w:numPr>
        <w:spacing w:line="240" w:lineRule="auto"/>
        <w:rPr>
          <w:sz w:val="22"/>
          <w:szCs w:val="22"/>
        </w:rPr>
      </w:pPr>
      <w:r w:rsidRPr="0080538B">
        <w:rPr>
          <w:b/>
          <w:bCs/>
          <w:sz w:val="22"/>
          <w:szCs w:val="22"/>
        </w:rPr>
        <w:t>Efficiency:</w:t>
      </w:r>
      <w:r w:rsidRPr="0080538B">
        <w:rPr>
          <w:sz w:val="22"/>
          <w:szCs w:val="22"/>
        </w:rPr>
        <w:t xml:space="preserve"> Inventory Turnover</w:t>
      </w:r>
      <w:r w:rsidR="00C331D3">
        <w:rPr>
          <w:sz w:val="22"/>
          <w:szCs w:val="22"/>
        </w:rPr>
        <w:t xml:space="preserve"> Ratio, DSO (Days Sales Outstanding)</w:t>
      </w:r>
    </w:p>
    <w:p w14:paraId="176E8802" w14:textId="3B1FFBA4" w:rsidR="0080538B" w:rsidRPr="0080538B" w:rsidRDefault="0080538B" w:rsidP="005C5F0F">
      <w:pPr>
        <w:numPr>
          <w:ilvl w:val="0"/>
          <w:numId w:val="6"/>
        </w:numPr>
        <w:spacing w:line="240" w:lineRule="auto"/>
        <w:rPr>
          <w:sz w:val="22"/>
          <w:szCs w:val="22"/>
        </w:rPr>
      </w:pPr>
      <w:r w:rsidRPr="0080538B">
        <w:rPr>
          <w:b/>
          <w:bCs/>
          <w:sz w:val="22"/>
          <w:szCs w:val="22"/>
        </w:rPr>
        <w:t>Cash Flow Trends:</w:t>
      </w:r>
      <w:r w:rsidRPr="0080538B">
        <w:rPr>
          <w:sz w:val="22"/>
          <w:szCs w:val="22"/>
        </w:rPr>
        <w:t xml:space="preserve"> Operating</w:t>
      </w:r>
      <w:r w:rsidR="00E72041">
        <w:rPr>
          <w:sz w:val="22"/>
          <w:szCs w:val="22"/>
        </w:rPr>
        <w:t xml:space="preserve"> Cash Flow</w:t>
      </w:r>
      <w:r w:rsidR="00C331D3">
        <w:rPr>
          <w:sz w:val="22"/>
          <w:szCs w:val="22"/>
        </w:rPr>
        <w:t xml:space="preserve"> to Net Income Ratio, FCF (Free Cash Flow)</w:t>
      </w:r>
    </w:p>
    <w:p w14:paraId="0664729F" w14:textId="77777777" w:rsidR="0080538B" w:rsidRPr="0080538B" w:rsidRDefault="00000000" w:rsidP="005C5F0F">
      <w:pPr>
        <w:spacing w:line="240" w:lineRule="auto"/>
        <w:rPr>
          <w:sz w:val="22"/>
          <w:szCs w:val="22"/>
        </w:rPr>
      </w:pPr>
      <w:r>
        <w:rPr>
          <w:sz w:val="22"/>
          <w:szCs w:val="22"/>
        </w:rPr>
        <w:pict w14:anchorId="3BF8851C">
          <v:rect id="_x0000_i1028" style="width:0;height:1.5pt" o:hralign="center" o:hrstd="t" o:hr="t" fillcolor="#a0a0a0" stroked="f"/>
        </w:pict>
      </w:r>
    </w:p>
    <w:p w14:paraId="568DF296" w14:textId="41A55A3B" w:rsidR="0080538B" w:rsidRDefault="0080538B" w:rsidP="005C5F0F">
      <w:pPr>
        <w:spacing w:line="276" w:lineRule="auto"/>
        <w:rPr>
          <w:b/>
          <w:bCs/>
        </w:rPr>
      </w:pPr>
      <w:r w:rsidRPr="0030428A">
        <w:rPr>
          <w:b/>
          <w:bCs/>
        </w:rPr>
        <w:t>Financial Analysis &amp; Insights</w:t>
      </w:r>
    </w:p>
    <w:p w14:paraId="4BED78DD" w14:textId="77777777" w:rsidR="005100C5" w:rsidRPr="005100C5" w:rsidRDefault="005100C5" w:rsidP="005C5F0F">
      <w:pPr>
        <w:spacing w:line="276" w:lineRule="auto"/>
        <w:rPr>
          <w:sz w:val="22"/>
          <w:szCs w:val="22"/>
        </w:rPr>
      </w:pPr>
      <w:r w:rsidRPr="005100C5">
        <w:rPr>
          <w:sz w:val="22"/>
          <w:szCs w:val="22"/>
        </w:rPr>
        <w:t>A five-year financial review of Beyond Meat reveals key trends across profitability, liquidity, solvency, operational efficiency, and cash flow. These trends highlight operational weaknesses and financial pressures that could impact the company’s sustainability if unaddressed.</w:t>
      </w:r>
    </w:p>
    <w:p w14:paraId="70429A76" w14:textId="07D5E447" w:rsidR="005100C5" w:rsidRPr="005100C5" w:rsidRDefault="005100C5" w:rsidP="005C5F0F">
      <w:pPr>
        <w:spacing w:line="276" w:lineRule="auto"/>
        <w:rPr>
          <w:b/>
          <w:bCs/>
          <w:sz w:val="22"/>
          <w:szCs w:val="22"/>
        </w:rPr>
      </w:pPr>
      <w:r w:rsidRPr="005100C5">
        <w:rPr>
          <w:b/>
          <w:bCs/>
          <w:sz w:val="22"/>
          <w:szCs w:val="22"/>
        </w:rPr>
        <w:t>Profitability Analysis</w:t>
      </w:r>
    </w:p>
    <w:p w14:paraId="462C9B73" w14:textId="7E9F3A92" w:rsidR="005100C5" w:rsidRPr="005100C5" w:rsidRDefault="005100C5" w:rsidP="005C5F0F">
      <w:pPr>
        <w:spacing w:line="276" w:lineRule="auto"/>
        <w:rPr>
          <w:sz w:val="22"/>
          <w:szCs w:val="22"/>
        </w:rPr>
      </w:pPr>
      <w:r w:rsidRPr="005100C5">
        <w:rPr>
          <w:sz w:val="22"/>
          <w:szCs w:val="22"/>
        </w:rPr>
        <w:t>Beyond Meat has yet to achieve sustained profitability</w:t>
      </w:r>
      <w:r>
        <w:rPr>
          <w:sz w:val="22"/>
          <w:szCs w:val="22"/>
        </w:rPr>
        <w:t xml:space="preserve"> in the last 5 years</w:t>
      </w:r>
      <w:r w:rsidRPr="005100C5">
        <w:rPr>
          <w:sz w:val="22"/>
          <w:szCs w:val="22"/>
        </w:rPr>
        <w:t xml:space="preserve">. </w:t>
      </w:r>
      <w:r w:rsidRPr="005100C5">
        <w:rPr>
          <w:b/>
          <w:bCs/>
          <w:sz w:val="22"/>
          <w:szCs w:val="22"/>
        </w:rPr>
        <w:t xml:space="preserve">Net </w:t>
      </w:r>
      <w:r w:rsidR="00E72041">
        <w:rPr>
          <w:b/>
          <w:bCs/>
          <w:sz w:val="22"/>
          <w:szCs w:val="22"/>
        </w:rPr>
        <w:t>M</w:t>
      </w:r>
      <w:r w:rsidRPr="005100C5">
        <w:rPr>
          <w:b/>
          <w:bCs/>
          <w:sz w:val="22"/>
          <w:szCs w:val="22"/>
        </w:rPr>
        <w:t>argin</w:t>
      </w:r>
      <w:r w:rsidRPr="005100C5">
        <w:rPr>
          <w:sz w:val="22"/>
          <w:szCs w:val="22"/>
        </w:rPr>
        <w:t xml:space="preserve"> has remained deeply negative, reaching its worst point</w:t>
      </w:r>
      <w:r>
        <w:rPr>
          <w:sz w:val="22"/>
          <w:szCs w:val="22"/>
        </w:rPr>
        <w:t>s</w:t>
      </w:r>
      <w:r w:rsidRPr="005100C5">
        <w:rPr>
          <w:sz w:val="22"/>
          <w:szCs w:val="22"/>
        </w:rPr>
        <w:t xml:space="preserve"> in 2022</w:t>
      </w:r>
      <w:r>
        <w:rPr>
          <w:sz w:val="22"/>
          <w:szCs w:val="22"/>
        </w:rPr>
        <w:t xml:space="preserve"> and 2023</w:t>
      </w:r>
      <w:r w:rsidRPr="005100C5">
        <w:rPr>
          <w:sz w:val="22"/>
          <w:szCs w:val="22"/>
        </w:rPr>
        <w:t xml:space="preserve"> at -88%</w:t>
      </w:r>
      <w:r>
        <w:rPr>
          <w:sz w:val="22"/>
          <w:szCs w:val="22"/>
        </w:rPr>
        <w:t xml:space="preserve"> and -80%</w:t>
      </w:r>
      <w:r w:rsidR="009A1CF7">
        <w:rPr>
          <w:sz w:val="22"/>
          <w:szCs w:val="22"/>
        </w:rPr>
        <w:t>,</w:t>
      </w:r>
      <w:r>
        <w:rPr>
          <w:sz w:val="22"/>
          <w:szCs w:val="22"/>
        </w:rPr>
        <w:t xml:space="preserve"> respectively</w:t>
      </w:r>
      <w:r w:rsidR="009A1CF7">
        <w:rPr>
          <w:sz w:val="22"/>
          <w:szCs w:val="22"/>
        </w:rPr>
        <w:t>,</w:t>
      </w:r>
      <w:r>
        <w:rPr>
          <w:sz w:val="22"/>
          <w:szCs w:val="22"/>
        </w:rPr>
        <w:t xml:space="preserve"> before showing a noticeable bounce back to -49.1% in 2024</w:t>
      </w:r>
      <w:r w:rsidR="009A1CF7">
        <w:rPr>
          <w:sz w:val="22"/>
          <w:szCs w:val="22"/>
        </w:rPr>
        <w:t xml:space="preserve"> </w:t>
      </w:r>
      <w:r w:rsidR="009A1CF7" w:rsidRPr="009A1CF7">
        <w:rPr>
          <w:sz w:val="22"/>
          <w:szCs w:val="22"/>
        </w:rPr>
        <w:t>— a sign of some operational improvement, albeit still far from breakeven</w:t>
      </w:r>
      <w:r>
        <w:rPr>
          <w:sz w:val="22"/>
          <w:szCs w:val="22"/>
        </w:rPr>
        <w:t xml:space="preserve">. </w:t>
      </w:r>
      <w:r w:rsidRPr="005100C5">
        <w:rPr>
          <w:b/>
          <w:bCs/>
          <w:sz w:val="22"/>
          <w:szCs w:val="22"/>
        </w:rPr>
        <w:t xml:space="preserve">Gross </w:t>
      </w:r>
      <w:r w:rsidR="00E72041">
        <w:rPr>
          <w:b/>
          <w:bCs/>
          <w:sz w:val="22"/>
          <w:szCs w:val="22"/>
        </w:rPr>
        <w:t>M</w:t>
      </w:r>
      <w:r w:rsidRPr="005100C5">
        <w:rPr>
          <w:b/>
          <w:bCs/>
          <w:sz w:val="22"/>
          <w:szCs w:val="22"/>
        </w:rPr>
        <w:t>argin</w:t>
      </w:r>
      <w:r w:rsidRPr="005100C5">
        <w:rPr>
          <w:sz w:val="22"/>
          <w:szCs w:val="22"/>
        </w:rPr>
        <w:t xml:space="preserve"> </w:t>
      </w:r>
      <w:r w:rsidR="009A1CF7">
        <w:rPr>
          <w:sz w:val="22"/>
          <w:szCs w:val="22"/>
        </w:rPr>
        <w:t xml:space="preserve">followed a similar trend, </w:t>
      </w:r>
      <w:r w:rsidRPr="005100C5">
        <w:rPr>
          <w:sz w:val="22"/>
          <w:szCs w:val="22"/>
        </w:rPr>
        <w:t>declin</w:t>
      </w:r>
      <w:r w:rsidR="009A1CF7">
        <w:rPr>
          <w:sz w:val="22"/>
          <w:szCs w:val="22"/>
        </w:rPr>
        <w:t>ing</w:t>
      </w:r>
      <w:r w:rsidRPr="005100C5">
        <w:rPr>
          <w:sz w:val="22"/>
          <w:szCs w:val="22"/>
        </w:rPr>
        <w:t xml:space="preserve"> from </w:t>
      </w:r>
      <w:r>
        <w:rPr>
          <w:sz w:val="22"/>
          <w:szCs w:val="22"/>
        </w:rPr>
        <w:t>25.24</w:t>
      </w:r>
      <w:r w:rsidRPr="005100C5">
        <w:rPr>
          <w:sz w:val="22"/>
          <w:szCs w:val="22"/>
        </w:rPr>
        <w:t>% in 202</w:t>
      </w:r>
      <w:r>
        <w:rPr>
          <w:sz w:val="22"/>
          <w:szCs w:val="22"/>
        </w:rPr>
        <w:t>1</w:t>
      </w:r>
      <w:r w:rsidRPr="005100C5">
        <w:rPr>
          <w:sz w:val="22"/>
          <w:szCs w:val="22"/>
        </w:rPr>
        <w:t xml:space="preserve"> to </w:t>
      </w:r>
      <w:r>
        <w:rPr>
          <w:sz w:val="22"/>
          <w:szCs w:val="22"/>
        </w:rPr>
        <w:t xml:space="preserve">-24.07% </w:t>
      </w:r>
      <w:r w:rsidRPr="005100C5">
        <w:rPr>
          <w:sz w:val="22"/>
          <w:szCs w:val="22"/>
        </w:rPr>
        <w:t>in 2023</w:t>
      </w:r>
      <w:r w:rsidR="009A1CF7">
        <w:rPr>
          <w:sz w:val="22"/>
          <w:szCs w:val="22"/>
        </w:rPr>
        <w:t xml:space="preserve"> </w:t>
      </w:r>
      <w:r w:rsidR="009A1CF7" w:rsidRPr="009A1CF7">
        <w:rPr>
          <w:sz w:val="22"/>
          <w:szCs w:val="22"/>
        </w:rPr>
        <w:t xml:space="preserve">— likely due to rising input costs, inefficiencies, or pricing challenges — before recovering to 12.77% in 2024. While still modest, this recovery suggests a potential turning </w:t>
      </w:r>
      <w:r w:rsidR="009A1CF7" w:rsidRPr="009A1CF7">
        <w:rPr>
          <w:sz w:val="22"/>
          <w:szCs w:val="22"/>
        </w:rPr>
        <w:lastRenderedPageBreak/>
        <w:t>point in cost management or sales strategy.</w:t>
      </w:r>
      <w:r w:rsidR="009A1CF7">
        <w:rPr>
          <w:sz w:val="22"/>
          <w:szCs w:val="22"/>
        </w:rPr>
        <w:t xml:space="preserve"> </w:t>
      </w:r>
      <w:r w:rsidR="009A1CF7" w:rsidRPr="009A1CF7">
        <w:rPr>
          <w:b/>
          <w:bCs/>
          <w:sz w:val="22"/>
          <w:szCs w:val="22"/>
        </w:rPr>
        <w:t xml:space="preserve">Operating </w:t>
      </w:r>
      <w:r w:rsidR="00E72041">
        <w:rPr>
          <w:b/>
          <w:bCs/>
          <w:sz w:val="22"/>
          <w:szCs w:val="22"/>
        </w:rPr>
        <w:t>Ma</w:t>
      </w:r>
      <w:r w:rsidR="009A1CF7" w:rsidRPr="009A1CF7">
        <w:rPr>
          <w:b/>
          <w:bCs/>
          <w:sz w:val="22"/>
          <w:szCs w:val="22"/>
        </w:rPr>
        <w:t>rgin</w:t>
      </w:r>
      <w:r w:rsidR="009A1CF7" w:rsidRPr="009A1CF7">
        <w:rPr>
          <w:sz w:val="22"/>
          <w:szCs w:val="22"/>
        </w:rPr>
        <w:t xml:space="preserve"> followed a very similar pattern to net margin, indicating that the company’s core operations are the primary source of its losses. The metric remained negative throughout the period, reaching its lowest point </w:t>
      </w:r>
      <w:r w:rsidR="009A1CF7">
        <w:rPr>
          <w:sz w:val="22"/>
          <w:szCs w:val="22"/>
        </w:rPr>
        <w:t xml:space="preserve">of -96.19% </w:t>
      </w:r>
      <w:r w:rsidR="009A1CF7" w:rsidRPr="009A1CF7">
        <w:rPr>
          <w:sz w:val="22"/>
          <w:szCs w:val="22"/>
        </w:rPr>
        <w:t>in 202</w:t>
      </w:r>
      <w:r w:rsidR="009A1CF7">
        <w:rPr>
          <w:sz w:val="22"/>
          <w:szCs w:val="22"/>
        </w:rPr>
        <w:t>3</w:t>
      </w:r>
      <w:r w:rsidR="009A1CF7" w:rsidRPr="009A1CF7">
        <w:rPr>
          <w:sz w:val="22"/>
          <w:szCs w:val="22"/>
        </w:rPr>
        <w:t xml:space="preserve"> before recovering somewhat to -4</w:t>
      </w:r>
      <w:r w:rsidR="009A1CF7">
        <w:rPr>
          <w:sz w:val="22"/>
          <w:szCs w:val="22"/>
        </w:rPr>
        <w:t>7</w:t>
      </w:r>
      <w:r w:rsidR="009A1CF7" w:rsidRPr="009A1CF7">
        <w:rPr>
          <w:sz w:val="22"/>
          <w:szCs w:val="22"/>
        </w:rPr>
        <w:t>.</w:t>
      </w:r>
      <w:r w:rsidR="009A1CF7">
        <w:rPr>
          <w:sz w:val="22"/>
          <w:szCs w:val="22"/>
        </w:rPr>
        <w:t>83</w:t>
      </w:r>
      <w:r w:rsidR="009A1CF7" w:rsidRPr="009A1CF7">
        <w:rPr>
          <w:sz w:val="22"/>
          <w:szCs w:val="22"/>
        </w:rPr>
        <w:t>% in 2024. This close alignment between operating and net margins suggests that Beyond Meat’s profitability challenges are not being masked or amplified by external factors such as financing costs or taxes but rather stem from structural inefficiencies within its operating model. Continued improvement in gross margin and better scaling of fixed costs will be critical for moving toward profitability.</w:t>
      </w:r>
    </w:p>
    <w:p w14:paraId="38546AE9" w14:textId="18520A20" w:rsidR="005100C5" w:rsidRPr="005100C5" w:rsidRDefault="005100C5" w:rsidP="005C5F0F">
      <w:pPr>
        <w:spacing w:line="276" w:lineRule="auto"/>
        <w:rPr>
          <w:b/>
          <w:bCs/>
          <w:sz w:val="22"/>
          <w:szCs w:val="22"/>
        </w:rPr>
      </w:pPr>
      <w:r w:rsidRPr="005100C5">
        <w:rPr>
          <w:b/>
          <w:bCs/>
          <w:sz w:val="22"/>
          <w:szCs w:val="22"/>
        </w:rPr>
        <w:t>Liquidity Position</w:t>
      </w:r>
    </w:p>
    <w:p w14:paraId="7975AEBA" w14:textId="6EAA4ACC" w:rsidR="0013360C" w:rsidRDefault="0013360C" w:rsidP="005C5F0F">
      <w:pPr>
        <w:spacing w:line="276" w:lineRule="auto"/>
        <w:rPr>
          <w:sz w:val="22"/>
          <w:szCs w:val="22"/>
        </w:rPr>
      </w:pPr>
      <w:r w:rsidRPr="0013360C">
        <w:rPr>
          <w:sz w:val="22"/>
          <w:szCs w:val="22"/>
        </w:rPr>
        <w:t xml:space="preserve">Beyond Meat maintained strong short-term liquidity throughout the last four years, with </w:t>
      </w:r>
      <w:r w:rsidR="00E72041">
        <w:rPr>
          <w:b/>
          <w:bCs/>
          <w:sz w:val="22"/>
          <w:szCs w:val="22"/>
        </w:rPr>
        <w:t>C</w:t>
      </w:r>
      <w:r w:rsidRPr="0013360C">
        <w:rPr>
          <w:b/>
          <w:bCs/>
          <w:sz w:val="22"/>
          <w:szCs w:val="22"/>
        </w:rPr>
        <w:t xml:space="preserve">urrent </w:t>
      </w:r>
      <w:r w:rsidR="00E72041">
        <w:rPr>
          <w:b/>
          <w:bCs/>
          <w:sz w:val="22"/>
          <w:szCs w:val="22"/>
        </w:rPr>
        <w:t>R</w:t>
      </w:r>
      <w:r w:rsidRPr="0013360C">
        <w:rPr>
          <w:b/>
          <w:bCs/>
          <w:sz w:val="22"/>
          <w:szCs w:val="22"/>
        </w:rPr>
        <w:t>atios</w:t>
      </w:r>
      <w:r w:rsidRPr="0013360C">
        <w:rPr>
          <w:sz w:val="22"/>
          <w:szCs w:val="22"/>
        </w:rPr>
        <w:t xml:space="preserve"> starting at 11.17 in 2021 and gradually declining to 8.00 in 2022, 5.01 in 2023, and 4.66 in 2024. </w:t>
      </w:r>
      <w:r w:rsidRPr="0013360C">
        <w:rPr>
          <w:b/>
          <w:bCs/>
          <w:sz w:val="22"/>
          <w:szCs w:val="22"/>
        </w:rPr>
        <w:t xml:space="preserve">Quick </w:t>
      </w:r>
      <w:r w:rsidR="00E72041">
        <w:rPr>
          <w:b/>
          <w:bCs/>
          <w:sz w:val="22"/>
          <w:szCs w:val="22"/>
        </w:rPr>
        <w:t>R</w:t>
      </w:r>
      <w:r w:rsidRPr="0013360C">
        <w:rPr>
          <w:b/>
          <w:bCs/>
          <w:sz w:val="22"/>
          <w:szCs w:val="22"/>
        </w:rPr>
        <w:t>atios</w:t>
      </w:r>
      <w:r w:rsidRPr="0013360C">
        <w:rPr>
          <w:sz w:val="22"/>
          <w:szCs w:val="22"/>
        </w:rPr>
        <w:t xml:space="preserve"> followed a similar trend, starting at 8.60 in 2021 and falling to 4.89, 3.26, and 2.82, respectively. While ratios above 1.0 generally indicate that a company can meet its short-term obligations, values consistently exceeding 3.0 may suggest inefficiencies in capital allocation. In Beyond Meat’s case, these elevated ratios could imply idle cash or underutilized current assets that might have been more effectively reinvested into operations, R&amp;D, or debt reduction. The declining trend could reflect a shift toward more balanced capital usage, though the company still holds liquidity levels above industry norms, warranting further attention to working capital optimization.</w:t>
      </w:r>
    </w:p>
    <w:p w14:paraId="355CF1BF" w14:textId="4A74AF4B" w:rsidR="005100C5" w:rsidRPr="005100C5" w:rsidRDefault="005100C5" w:rsidP="005C5F0F">
      <w:pPr>
        <w:spacing w:line="276" w:lineRule="auto"/>
        <w:rPr>
          <w:b/>
          <w:bCs/>
          <w:sz w:val="22"/>
          <w:szCs w:val="22"/>
        </w:rPr>
      </w:pPr>
      <w:r w:rsidRPr="005100C5">
        <w:rPr>
          <w:b/>
          <w:bCs/>
          <w:sz w:val="22"/>
          <w:szCs w:val="22"/>
        </w:rPr>
        <w:t>Solvency and Leverage</w:t>
      </w:r>
    </w:p>
    <w:p w14:paraId="2FC617D3" w14:textId="764875AE" w:rsidR="00E72041" w:rsidRPr="00E72041" w:rsidRDefault="00E72041" w:rsidP="005C5F0F">
      <w:pPr>
        <w:spacing w:line="276" w:lineRule="auto"/>
        <w:rPr>
          <w:sz w:val="22"/>
          <w:szCs w:val="22"/>
        </w:rPr>
      </w:pPr>
      <w:r w:rsidRPr="00E72041">
        <w:rPr>
          <w:sz w:val="22"/>
          <w:szCs w:val="22"/>
        </w:rPr>
        <w:t xml:space="preserve">Beyond Meat’s solvency position has weakened considerably over the last four years. The </w:t>
      </w:r>
      <w:r>
        <w:rPr>
          <w:b/>
          <w:bCs/>
          <w:sz w:val="22"/>
          <w:szCs w:val="22"/>
        </w:rPr>
        <w:t>D</w:t>
      </w:r>
      <w:r w:rsidRPr="00E72041">
        <w:rPr>
          <w:b/>
          <w:bCs/>
          <w:sz w:val="22"/>
          <w:szCs w:val="22"/>
        </w:rPr>
        <w:t>ebt-to-</w:t>
      </w:r>
      <w:r>
        <w:rPr>
          <w:b/>
          <w:bCs/>
          <w:sz w:val="22"/>
          <w:szCs w:val="22"/>
        </w:rPr>
        <w:t>E</w:t>
      </w:r>
      <w:r w:rsidRPr="00E72041">
        <w:rPr>
          <w:b/>
          <w:bCs/>
          <w:sz w:val="22"/>
          <w:szCs w:val="22"/>
        </w:rPr>
        <w:t xml:space="preserve">quity </w:t>
      </w:r>
      <w:r>
        <w:rPr>
          <w:b/>
          <w:bCs/>
          <w:sz w:val="22"/>
          <w:szCs w:val="22"/>
        </w:rPr>
        <w:t>R</w:t>
      </w:r>
      <w:r w:rsidRPr="00E72041">
        <w:rPr>
          <w:b/>
          <w:bCs/>
          <w:sz w:val="22"/>
          <w:szCs w:val="22"/>
        </w:rPr>
        <w:t>atio</w:t>
      </w:r>
      <w:r w:rsidRPr="00E72041">
        <w:rPr>
          <w:sz w:val="22"/>
          <w:szCs w:val="22"/>
        </w:rPr>
        <w:t xml:space="preserve">, which was already elevated </w:t>
      </w:r>
      <w:proofErr w:type="gramStart"/>
      <w:r w:rsidRPr="00E72041">
        <w:rPr>
          <w:sz w:val="22"/>
          <w:szCs w:val="22"/>
        </w:rPr>
        <w:t>at</w:t>
      </w:r>
      <w:proofErr w:type="gramEnd"/>
      <w:r w:rsidRPr="00E72041">
        <w:rPr>
          <w:sz w:val="22"/>
          <w:szCs w:val="22"/>
        </w:rPr>
        <w:t xml:space="preserve"> 8.73 in 2021, turned negative in subsequent years, reaching -5.86 in 2022, -2.37 in 2023, and -2.03 in 2024. A negative </w:t>
      </w:r>
      <w:r>
        <w:rPr>
          <w:b/>
          <w:bCs/>
          <w:sz w:val="22"/>
          <w:szCs w:val="22"/>
        </w:rPr>
        <w:t>D</w:t>
      </w:r>
      <w:r w:rsidRPr="00E72041">
        <w:rPr>
          <w:b/>
          <w:bCs/>
          <w:sz w:val="22"/>
          <w:szCs w:val="22"/>
        </w:rPr>
        <w:t>ebt-to-</w:t>
      </w:r>
      <w:r>
        <w:rPr>
          <w:b/>
          <w:bCs/>
          <w:sz w:val="22"/>
          <w:szCs w:val="22"/>
        </w:rPr>
        <w:t>E</w:t>
      </w:r>
      <w:r w:rsidRPr="00E72041">
        <w:rPr>
          <w:b/>
          <w:bCs/>
          <w:sz w:val="22"/>
          <w:szCs w:val="22"/>
        </w:rPr>
        <w:t xml:space="preserve">quity </w:t>
      </w:r>
      <w:r>
        <w:rPr>
          <w:b/>
          <w:bCs/>
          <w:sz w:val="22"/>
          <w:szCs w:val="22"/>
        </w:rPr>
        <w:t>R</w:t>
      </w:r>
      <w:r w:rsidRPr="00E72041">
        <w:rPr>
          <w:b/>
          <w:bCs/>
          <w:sz w:val="22"/>
          <w:szCs w:val="22"/>
        </w:rPr>
        <w:t>atio</w:t>
      </w:r>
      <w:r w:rsidRPr="00E72041">
        <w:rPr>
          <w:sz w:val="22"/>
          <w:szCs w:val="22"/>
        </w:rPr>
        <w:t xml:space="preserve"> typically signals negative shareholder equity, meaning liabilities have exceeded assets — a red flag for long-term financial health. This concern is further supported by the </w:t>
      </w:r>
      <w:r>
        <w:rPr>
          <w:b/>
          <w:bCs/>
          <w:sz w:val="22"/>
          <w:szCs w:val="22"/>
        </w:rPr>
        <w:t>D</w:t>
      </w:r>
      <w:r w:rsidRPr="00E72041">
        <w:rPr>
          <w:b/>
          <w:bCs/>
          <w:sz w:val="22"/>
          <w:szCs w:val="22"/>
        </w:rPr>
        <w:t>ebt-to-</w:t>
      </w:r>
      <w:r>
        <w:rPr>
          <w:b/>
          <w:bCs/>
          <w:sz w:val="22"/>
          <w:szCs w:val="22"/>
        </w:rPr>
        <w:t>A</w:t>
      </w:r>
      <w:r w:rsidRPr="00E72041">
        <w:rPr>
          <w:b/>
          <w:bCs/>
          <w:sz w:val="22"/>
          <w:szCs w:val="22"/>
        </w:rPr>
        <w:t xml:space="preserve">sset </w:t>
      </w:r>
      <w:r>
        <w:rPr>
          <w:b/>
          <w:bCs/>
          <w:sz w:val="22"/>
          <w:szCs w:val="22"/>
        </w:rPr>
        <w:t>R</w:t>
      </w:r>
      <w:r w:rsidRPr="00E72041">
        <w:rPr>
          <w:b/>
          <w:bCs/>
          <w:sz w:val="22"/>
          <w:szCs w:val="22"/>
        </w:rPr>
        <w:t>atio</w:t>
      </w:r>
      <w:r w:rsidRPr="00E72041">
        <w:rPr>
          <w:sz w:val="22"/>
          <w:szCs w:val="22"/>
        </w:rPr>
        <w:t xml:space="preserve">, which climbed from 0.84 in 2021 to 1.12, 1.57, and 1.80 in the following years. This trajectory indicates that debt now exceeds total assets, raising questions about the company's ability to sustain operations without external financing. The </w:t>
      </w:r>
      <w:r>
        <w:rPr>
          <w:b/>
          <w:bCs/>
          <w:sz w:val="22"/>
          <w:szCs w:val="22"/>
        </w:rPr>
        <w:t>L</w:t>
      </w:r>
      <w:r w:rsidRPr="00E72041">
        <w:rPr>
          <w:b/>
          <w:bCs/>
          <w:sz w:val="22"/>
          <w:szCs w:val="22"/>
        </w:rPr>
        <w:t xml:space="preserve">everage </w:t>
      </w:r>
      <w:r>
        <w:rPr>
          <w:b/>
          <w:bCs/>
          <w:sz w:val="22"/>
          <w:szCs w:val="22"/>
        </w:rPr>
        <w:t>R</w:t>
      </w:r>
      <w:r w:rsidRPr="00E72041">
        <w:rPr>
          <w:b/>
          <w:bCs/>
          <w:sz w:val="22"/>
          <w:szCs w:val="22"/>
        </w:rPr>
        <w:t>atio</w:t>
      </w:r>
      <w:r w:rsidRPr="00E72041">
        <w:rPr>
          <w:sz w:val="22"/>
          <w:szCs w:val="22"/>
        </w:rPr>
        <w:t xml:space="preserve"> (assets/equity) mirrors this deterioration, beginning at 10.41 in 2021 before turning sharply negative to -5.22, -1.51, and -1.13 through 2024. These trends confirm that Beyond Meat is highly overleveraged and operating with negative equity, posing significant solvency risks unless profitability and capital structure are improved.</w:t>
      </w:r>
    </w:p>
    <w:p w14:paraId="713CB0AF" w14:textId="79D9B372" w:rsidR="005100C5" w:rsidRPr="005100C5" w:rsidRDefault="005100C5" w:rsidP="005C5F0F">
      <w:pPr>
        <w:spacing w:line="276" w:lineRule="auto"/>
        <w:rPr>
          <w:b/>
          <w:bCs/>
          <w:sz w:val="22"/>
          <w:szCs w:val="22"/>
        </w:rPr>
      </w:pPr>
      <w:r w:rsidRPr="005100C5">
        <w:rPr>
          <w:b/>
          <w:bCs/>
          <w:sz w:val="22"/>
          <w:szCs w:val="22"/>
        </w:rPr>
        <w:t>Operational Efficiency</w:t>
      </w:r>
    </w:p>
    <w:p w14:paraId="13D69C3A" w14:textId="3D96F677" w:rsidR="00E72041" w:rsidRDefault="00E72041" w:rsidP="005C5F0F">
      <w:pPr>
        <w:spacing w:line="276" w:lineRule="auto"/>
        <w:rPr>
          <w:sz w:val="22"/>
          <w:szCs w:val="22"/>
        </w:rPr>
      </w:pPr>
      <w:r w:rsidRPr="00E72041">
        <w:rPr>
          <w:sz w:val="22"/>
          <w:szCs w:val="22"/>
        </w:rPr>
        <w:t xml:space="preserve">Beyond Meat’s operational efficiency has shown mixed signals over the past few years. </w:t>
      </w:r>
      <w:r w:rsidRPr="00E72041">
        <w:rPr>
          <w:b/>
          <w:bCs/>
          <w:sz w:val="22"/>
          <w:szCs w:val="22"/>
        </w:rPr>
        <w:t>Days Sales Outstanding (DSO)</w:t>
      </w:r>
      <w:r w:rsidRPr="00E72041">
        <w:rPr>
          <w:sz w:val="22"/>
          <w:szCs w:val="22"/>
        </w:rPr>
        <w:t xml:space="preserve">, which measures how long it takes the company to collect revenue after a sale, remained relatively stable, ranging from 34.41 days in 2021 to 30.03 days in 2024. This consistency suggests a generally healthy receivables collection process and no significant deterioration in customer payment behavior. On the other hand, </w:t>
      </w:r>
      <w:r w:rsidRPr="00E72041">
        <w:rPr>
          <w:b/>
          <w:bCs/>
          <w:sz w:val="22"/>
          <w:szCs w:val="22"/>
        </w:rPr>
        <w:t>Inventory Turnover</w:t>
      </w:r>
      <w:r w:rsidRPr="00E72041">
        <w:rPr>
          <w:sz w:val="22"/>
          <w:szCs w:val="22"/>
        </w:rPr>
        <w:t xml:space="preserve">, which measures how often inventory is sold and replaced over a period, increased from 1.85 in 2022 to 2.34 in 2024. While this upward trend is positive — indicating more efficient inventory management — turnover rates </w:t>
      </w:r>
      <w:r w:rsidRPr="00E72041">
        <w:rPr>
          <w:sz w:val="22"/>
          <w:szCs w:val="22"/>
        </w:rPr>
        <w:lastRenderedPageBreak/>
        <w:t>remain relatively low, which may imply excess stock or slower-moving products. Improving turnover will be key to freeing up working capital and reducing holding costs, especially given the company’s liquidity and profitability challenges. These efficiency metrics suggest some improvement in internal operations, though further gains are necessary to support long-term financial health.</w:t>
      </w:r>
    </w:p>
    <w:p w14:paraId="4EB648CD" w14:textId="012216F0" w:rsidR="005100C5" w:rsidRDefault="005100C5" w:rsidP="005C5F0F">
      <w:pPr>
        <w:spacing w:line="276" w:lineRule="auto"/>
        <w:rPr>
          <w:b/>
          <w:bCs/>
          <w:sz w:val="22"/>
          <w:szCs w:val="22"/>
        </w:rPr>
      </w:pPr>
      <w:r w:rsidRPr="005100C5">
        <w:rPr>
          <w:b/>
          <w:bCs/>
          <w:sz w:val="22"/>
          <w:szCs w:val="22"/>
        </w:rPr>
        <w:t>Cash Flow Trends</w:t>
      </w:r>
    </w:p>
    <w:p w14:paraId="0E98EAAE" w14:textId="4A79877C" w:rsidR="00C331D3" w:rsidRPr="005100C5" w:rsidRDefault="00C331D3" w:rsidP="005C5F0F">
      <w:pPr>
        <w:spacing w:line="276" w:lineRule="auto"/>
        <w:rPr>
          <w:sz w:val="22"/>
          <w:szCs w:val="22"/>
        </w:rPr>
      </w:pPr>
      <w:r w:rsidRPr="00C331D3">
        <w:rPr>
          <w:sz w:val="22"/>
          <w:szCs w:val="22"/>
        </w:rPr>
        <w:t xml:space="preserve">Despite reporting negative net income throughout the analysis period, Beyond Meat's </w:t>
      </w:r>
      <w:r w:rsidRPr="00C331D3">
        <w:rPr>
          <w:b/>
          <w:bCs/>
          <w:sz w:val="22"/>
          <w:szCs w:val="22"/>
        </w:rPr>
        <w:t xml:space="preserve">Operating Cash Flow to Net Income </w:t>
      </w:r>
      <w:r>
        <w:rPr>
          <w:b/>
          <w:bCs/>
          <w:sz w:val="22"/>
          <w:szCs w:val="22"/>
        </w:rPr>
        <w:t>R</w:t>
      </w:r>
      <w:r w:rsidRPr="00C331D3">
        <w:rPr>
          <w:b/>
          <w:bCs/>
          <w:sz w:val="22"/>
          <w:szCs w:val="22"/>
        </w:rPr>
        <w:t>atio</w:t>
      </w:r>
      <w:r w:rsidRPr="00C331D3">
        <w:rPr>
          <w:sz w:val="22"/>
          <w:szCs w:val="22"/>
        </w:rPr>
        <w:t xml:space="preserve"> reveals how well the company is able to convert its accounting losses into cash. The ratio stood at 1.65 in 2021, indicating that cash flows were significantly stronger than net income, possibly due to non-cash expenses such as depreciation or changes in working capital. However, the ratio declined to 0.87 in 2022, 0.32 in 2023, and only modestly recovered to 0.62 in 2024, signaling weakening cash flow generation relative to reported losses. A ratio below 1 suggests that net income is not being fully backed by operating cash, raising concerns about earnings quality and the sustainability of operations. While Beyond Meat occasionally outperforms net income in terms of cash generation, the downward trend emphasizes the need for improved operational performance and tighter cash management.</w:t>
      </w:r>
    </w:p>
    <w:p w14:paraId="58B5367A" w14:textId="77777777" w:rsidR="0080538B" w:rsidRPr="0080538B" w:rsidRDefault="00000000" w:rsidP="005C5F0F">
      <w:pPr>
        <w:spacing w:line="276" w:lineRule="auto"/>
        <w:rPr>
          <w:sz w:val="22"/>
          <w:szCs w:val="22"/>
        </w:rPr>
      </w:pPr>
      <w:r>
        <w:rPr>
          <w:sz w:val="22"/>
          <w:szCs w:val="22"/>
        </w:rPr>
        <w:pict w14:anchorId="481752AC">
          <v:rect id="_x0000_i1029" style="width:0;height:1.5pt" o:hralign="center" o:hrstd="t" o:hr="t" fillcolor="#a0a0a0" stroked="f"/>
        </w:pict>
      </w:r>
    </w:p>
    <w:p w14:paraId="1638D7AB" w14:textId="64FCCEAE" w:rsidR="00704EE4" w:rsidRPr="00704EE4" w:rsidRDefault="00704EE4" w:rsidP="00704EE4">
      <w:pPr>
        <w:spacing w:line="276" w:lineRule="auto"/>
        <w:rPr>
          <w:rFonts w:cs="Segoe UI Emoji"/>
          <w:b/>
          <w:bCs/>
        </w:rPr>
      </w:pPr>
      <w:r w:rsidRPr="00704EE4">
        <w:rPr>
          <w:rFonts w:cs="Segoe UI Emoji"/>
          <w:b/>
          <w:bCs/>
        </w:rPr>
        <w:t>Industry Context &amp; Competitive Positioning</w:t>
      </w:r>
    </w:p>
    <w:p w14:paraId="1DB682E8" w14:textId="77777777" w:rsidR="00704EE4" w:rsidRPr="00704EE4" w:rsidRDefault="00704EE4" w:rsidP="00704EE4">
      <w:pPr>
        <w:spacing w:line="276" w:lineRule="auto"/>
        <w:rPr>
          <w:rFonts w:cs="Segoe UI Emoji"/>
          <w:sz w:val="22"/>
          <w:szCs w:val="22"/>
        </w:rPr>
      </w:pPr>
      <w:r w:rsidRPr="00704EE4">
        <w:rPr>
          <w:rFonts w:cs="Segoe UI Emoji"/>
          <w:sz w:val="22"/>
          <w:szCs w:val="22"/>
        </w:rPr>
        <w:t>Beyond Meat's financial challenges must be viewed within the broader context of the evolving plant-based protein industry and competitive landscape.</w:t>
      </w:r>
    </w:p>
    <w:p w14:paraId="7DC8B234" w14:textId="77777777" w:rsidR="00704EE4" w:rsidRPr="00704EE4" w:rsidRDefault="00704EE4" w:rsidP="00704EE4">
      <w:pPr>
        <w:spacing w:line="276" w:lineRule="auto"/>
        <w:rPr>
          <w:rFonts w:cs="Segoe UI Emoji"/>
          <w:b/>
          <w:bCs/>
          <w:sz w:val="22"/>
          <w:szCs w:val="22"/>
        </w:rPr>
      </w:pPr>
      <w:r w:rsidRPr="00704EE4">
        <w:rPr>
          <w:rFonts w:cs="Segoe UI Emoji"/>
          <w:b/>
          <w:bCs/>
          <w:sz w:val="22"/>
          <w:szCs w:val="22"/>
        </w:rPr>
        <w:t>Industry Benchmarks &amp; Trends:</w:t>
      </w:r>
    </w:p>
    <w:p w14:paraId="17697060" w14:textId="77777777" w:rsidR="00704EE4" w:rsidRPr="00704EE4" w:rsidRDefault="00704EE4" w:rsidP="00704EE4">
      <w:pPr>
        <w:numPr>
          <w:ilvl w:val="0"/>
          <w:numId w:val="24"/>
        </w:numPr>
        <w:spacing w:line="276" w:lineRule="auto"/>
        <w:rPr>
          <w:rFonts w:cs="Segoe UI Emoji"/>
          <w:sz w:val="22"/>
          <w:szCs w:val="22"/>
        </w:rPr>
      </w:pPr>
      <w:r w:rsidRPr="00704EE4">
        <w:rPr>
          <w:rFonts w:cs="Segoe UI Emoji"/>
          <w:sz w:val="22"/>
          <w:szCs w:val="22"/>
        </w:rPr>
        <w:t xml:space="preserve">The plant-based meat alternative sector has experienced </w:t>
      </w:r>
      <w:proofErr w:type="gramStart"/>
      <w:r w:rsidRPr="00704EE4">
        <w:rPr>
          <w:rFonts w:cs="Segoe UI Emoji"/>
          <w:sz w:val="22"/>
          <w:szCs w:val="22"/>
        </w:rPr>
        <w:t>a significant</w:t>
      </w:r>
      <w:proofErr w:type="gramEnd"/>
      <w:r w:rsidRPr="00704EE4">
        <w:rPr>
          <w:rFonts w:cs="Segoe UI Emoji"/>
          <w:sz w:val="22"/>
          <w:szCs w:val="22"/>
        </w:rPr>
        <w:t xml:space="preserve"> market correction, with growth rates declining from 45% in 2020 to just 7% in 2024, creating headwinds for all industry participants</w:t>
      </w:r>
    </w:p>
    <w:p w14:paraId="4308D38A" w14:textId="77777777" w:rsidR="00704EE4" w:rsidRPr="00704EE4" w:rsidRDefault="00704EE4" w:rsidP="00704EE4">
      <w:pPr>
        <w:numPr>
          <w:ilvl w:val="0"/>
          <w:numId w:val="24"/>
        </w:numPr>
        <w:spacing w:line="276" w:lineRule="auto"/>
        <w:rPr>
          <w:rFonts w:cs="Segoe UI Emoji"/>
          <w:sz w:val="22"/>
          <w:szCs w:val="22"/>
        </w:rPr>
      </w:pPr>
      <w:r w:rsidRPr="00704EE4">
        <w:rPr>
          <w:rFonts w:cs="Segoe UI Emoji"/>
          <w:sz w:val="22"/>
          <w:szCs w:val="22"/>
        </w:rPr>
        <w:t>While food manufacturing companies typically maintain gross margins of 25-35%, Beyond Meat's volatile margins (-24% to 13%) significantly underperform sector benchmarks</w:t>
      </w:r>
    </w:p>
    <w:p w14:paraId="44A8259B" w14:textId="77777777" w:rsidR="00704EE4" w:rsidRPr="00704EE4" w:rsidRDefault="00704EE4" w:rsidP="00704EE4">
      <w:pPr>
        <w:numPr>
          <w:ilvl w:val="0"/>
          <w:numId w:val="24"/>
        </w:numPr>
        <w:spacing w:line="276" w:lineRule="auto"/>
        <w:rPr>
          <w:rFonts w:cs="Segoe UI Emoji"/>
          <w:sz w:val="22"/>
          <w:szCs w:val="22"/>
        </w:rPr>
      </w:pPr>
      <w:r w:rsidRPr="00704EE4">
        <w:rPr>
          <w:rFonts w:cs="Segoe UI Emoji"/>
          <w:sz w:val="22"/>
          <w:szCs w:val="22"/>
        </w:rPr>
        <w:t>Average inventory turnover in food processing is 7-8 times annually, compared to Beyond Meat's 2.34, indicating potential product freshness concerns and inefficient working capital management</w:t>
      </w:r>
    </w:p>
    <w:p w14:paraId="01B7884C" w14:textId="77777777" w:rsidR="00704EE4" w:rsidRPr="00704EE4" w:rsidRDefault="00704EE4" w:rsidP="00704EE4">
      <w:pPr>
        <w:spacing w:line="276" w:lineRule="auto"/>
        <w:rPr>
          <w:rFonts w:cs="Segoe UI Emoji"/>
          <w:b/>
          <w:bCs/>
          <w:sz w:val="22"/>
          <w:szCs w:val="22"/>
        </w:rPr>
      </w:pPr>
      <w:r w:rsidRPr="00704EE4">
        <w:rPr>
          <w:rFonts w:cs="Segoe UI Emoji"/>
          <w:b/>
          <w:bCs/>
          <w:sz w:val="22"/>
          <w:szCs w:val="22"/>
        </w:rPr>
        <w:t>Competitive Landscape:</w:t>
      </w:r>
    </w:p>
    <w:p w14:paraId="78F48F0B" w14:textId="5141F876" w:rsidR="00704EE4" w:rsidRPr="00704EE4" w:rsidRDefault="00704EE4" w:rsidP="00704EE4">
      <w:pPr>
        <w:numPr>
          <w:ilvl w:val="0"/>
          <w:numId w:val="25"/>
        </w:numPr>
        <w:spacing w:line="276" w:lineRule="auto"/>
        <w:rPr>
          <w:rFonts w:cs="Segoe UI Emoji"/>
          <w:sz w:val="22"/>
          <w:szCs w:val="22"/>
        </w:rPr>
      </w:pPr>
      <w:r w:rsidRPr="00704EE4">
        <w:rPr>
          <w:rFonts w:cs="Segoe UI Emoji"/>
          <w:sz w:val="22"/>
          <w:szCs w:val="22"/>
        </w:rPr>
        <w:t xml:space="preserve">Unlike competitor Impossible Foods, which secured $500M in additional funding during 2023 and expanded </w:t>
      </w:r>
      <w:r w:rsidRPr="00704EE4">
        <w:rPr>
          <w:rFonts w:cs="Segoe UI Emoji"/>
          <w:sz w:val="22"/>
          <w:szCs w:val="22"/>
        </w:rPr>
        <w:t>its retail</w:t>
      </w:r>
      <w:r w:rsidRPr="00704EE4">
        <w:rPr>
          <w:rFonts w:cs="Segoe UI Emoji"/>
          <w:sz w:val="22"/>
          <w:szCs w:val="22"/>
        </w:rPr>
        <w:t xml:space="preserve"> presence by 25%, Beyond Meat has struggled with distribution challenges and slower innovation cycles</w:t>
      </w:r>
    </w:p>
    <w:p w14:paraId="5920851E" w14:textId="77777777" w:rsidR="00704EE4" w:rsidRPr="00704EE4" w:rsidRDefault="00704EE4" w:rsidP="00704EE4">
      <w:pPr>
        <w:numPr>
          <w:ilvl w:val="0"/>
          <w:numId w:val="25"/>
        </w:numPr>
        <w:spacing w:line="276" w:lineRule="auto"/>
        <w:rPr>
          <w:rFonts w:cs="Segoe UI Emoji"/>
          <w:sz w:val="22"/>
          <w:szCs w:val="22"/>
        </w:rPr>
      </w:pPr>
      <w:r w:rsidRPr="00704EE4">
        <w:rPr>
          <w:rFonts w:cs="Segoe UI Emoji"/>
          <w:sz w:val="22"/>
          <w:szCs w:val="22"/>
        </w:rPr>
        <w:t>Traditional protein producers like Tyson and JBS have launched competitive plant-based product lines with 15-20% lower price points, leveraging existing distribution networks and manufacturing scale to erode Beyond Meat's early-mover advantage</w:t>
      </w:r>
    </w:p>
    <w:p w14:paraId="4F9FC4DC" w14:textId="77777777" w:rsidR="00704EE4" w:rsidRPr="00704EE4" w:rsidRDefault="00704EE4" w:rsidP="00704EE4">
      <w:pPr>
        <w:numPr>
          <w:ilvl w:val="0"/>
          <w:numId w:val="25"/>
        </w:numPr>
        <w:spacing w:line="276" w:lineRule="auto"/>
        <w:rPr>
          <w:rFonts w:cs="Segoe UI Emoji"/>
          <w:sz w:val="22"/>
          <w:szCs w:val="22"/>
        </w:rPr>
      </w:pPr>
      <w:r w:rsidRPr="00704EE4">
        <w:rPr>
          <w:rFonts w:cs="Segoe UI Emoji"/>
          <w:sz w:val="22"/>
          <w:szCs w:val="22"/>
        </w:rPr>
        <w:lastRenderedPageBreak/>
        <w:t>Private label plant-based alternatives have gained 8.5% market share in 2023-2024, placing additional pressure on branded products like Beyond Meat, particularly during inflationary periods when consumers are more price-sensitive</w:t>
      </w:r>
    </w:p>
    <w:p w14:paraId="3F501A84" w14:textId="77777777" w:rsidR="00704EE4" w:rsidRPr="00704EE4" w:rsidRDefault="00704EE4" w:rsidP="00704EE4">
      <w:pPr>
        <w:spacing w:line="276" w:lineRule="auto"/>
        <w:rPr>
          <w:rFonts w:cs="Segoe UI Emoji"/>
          <w:b/>
          <w:bCs/>
          <w:sz w:val="22"/>
          <w:szCs w:val="22"/>
        </w:rPr>
      </w:pPr>
      <w:r w:rsidRPr="00704EE4">
        <w:rPr>
          <w:rFonts w:cs="Segoe UI Emoji"/>
          <w:b/>
          <w:bCs/>
          <w:sz w:val="22"/>
          <w:szCs w:val="22"/>
        </w:rPr>
        <w:t>Market Position Challenges:</w:t>
      </w:r>
    </w:p>
    <w:p w14:paraId="7F1617AF" w14:textId="77777777" w:rsidR="00704EE4" w:rsidRPr="00704EE4" w:rsidRDefault="00704EE4" w:rsidP="00704EE4">
      <w:pPr>
        <w:numPr>
          <w:ilvl w:val="0"/>
          <w:numId w:val="26"/>
        </w:numPr>
        <w:spacing w:line="276" w:lineRule="auto"/>
        <w:rPr>
          <w:rFonts w:cs="Segoe UI Emoji"/>
          <w:sz w:val="22"/>
          <w:szCs w:val="22"/>
        </w:rPr>
      </w:pPr>
      <w:r w:rsidRPr="00704EE4">
        <w:rPr>
          <w:rFonts w:cs="Segoe UI Emoji"/>
          <w:sz w:val="22"/>
          <w:szCs w:val="22"/>
        </w:rPr>
        <w:t>Beyond Meat's premium pricing strategy has become increasingly difficult to maintain as consumer perception of plant-based proteins has shifted from novelty to commodity</w:t>
      </w:r>
    </w:p>
    <w:p w14:paraId="0D979DB2" w14:textId="77777777" w:rsidR="00704EE4" w:rsidRPr="00704EE4" w:rsidRDefault="00704EE4" w:rsidP="00704EE4">
      <w:pPr>
        <w:numPr>
          <w:ilvl w:val="0"/>
          <w:numId w:val="26"/>
        </w:numPr>
        <w:spacing w:line="276" w:lineRule="auto"/>
        <w:rPr>
          <w:rFonts w:cs="Segoe UI Emoji"/>
          <w:sz w:val="22"/>
          <w:szCs w:val="22"/>
        </w:rPr>
      </w:pPr>
      <w:r w:rsidRPr="00704EE4">
        <w:rPr>
          <w:rFonts w:cs="Segoe UI Emoji"/>
          <w:sz w:val="22"/>
          <w:szCs w:val="22"/>
        </w:rPr>
        <w:t>The company's historically heavy investment in R&amp;D (12% of revenue vs. industry average of 4-5%) created early technological advantages but now strains resources as competitors have closed the taste and texture gap</w:t>
      </w:r>
    </w:p>
    <w:p w14:paraId="0C8978BA" w14:textId="77777777" w:rsidR="00704EE4" w:rsidRPr="00704EE4" w:rsidRDefault="00704EE4" w:rsidP="00704EE4">
      <w:pPr>
        <w:numPr>
          <w:ilvl w:val="0"/>
          <w:numId w:val="26"/>
        </w:numPr>
        <w:spacing w:line="276" w:lineRule="auto"/>
        <w:rPr>
          <w:rFonts w:cs="Segoe UI Emoji"/>
          <w:sz w:val="22"/>
          <w:szCs w:val="22"/>
        </w:rPr>
      </w:pPr>
      <w:r w:rsidRPr="00704EE4">
        <w:rPr>
          <w:rFonts w:cs="Segoe UI Emoji"/>
          <w:sz w:val="22"/>
          <w:szCs w:val="22"/>
        </w:rPr>
        <w:t>Channel mix issues compound financial pressure, with foodservice sales (historically higher margin) declining by 22% while retail sales face intense shelf space competition</w:t>
      </w:r>
    </w:p>
    <w:p w14:paraId="10E940DA" w14:textId="77777777" w:rsidR="00704EE4" w:rsidRPr="00704EE4" w:rsidRDefault="00704EE4" w:rsidP="00704EE4">
      <w:pPr>
        <w:spacing w:line="276" w:lineRule="auto"/>
        <w:rPr>
          <w:rFonts w:cs="Segoe UI Emoji"/>
          <w:sz w:val="22"/>
          <w:szCs w:val="22"/>
        </w:rPr>
      </w:pPr>
      <w:r w:rsidRPr="00704EE4">
        <w:rPr>
          <w:rFonts w:cs="Segoe UI Emoji"/>
          <w:sz w:val="22"/>
          <w:szCs w:val="22"/>
        </w:rPr>
        <w:t>This competitive context explains many of the financial symptoms identified in our analysis and underscores the need for strategic repositioning alongside financial restructuring.</w:t>
      </w:r>
    </w:p>
    <w:p w14:paraId="4A8D1A3F" w14:textId="0D35A17C" w:rsidR="00704EE4" w:rsidRDefault="00704EE4" w:rsidP="005C5F0F">
      <w:pPr>
        <w:spacing w:line="276" w:lineRule="auto"/>
        <w:rPr>
          <w:rFonts w:cs="Segoe UI Emoji"/>
          <w:sz w:val="22"/>
          <w:szCs w:val="22"/>
        </w:rPr>
      </w:pPr>
      <w:r>
        <w:rPr>
          <w:sz w:val="22"/>
          <w:szCs w:val="22"/>
        </w:rPr>
        <w:pict w14:anchorId="032DC044">
          <v:rect id="_x0000_i1031" style="width:0;height:1.5pt" o:hralign="center" o:hrstd="t" o:hr="t" fillcolor="#a0a0a0" stroked="f"/>
        </w:pict>
      </w:r>
    </w:p>
    <w:p w14:paraId="2E78C493" w14:textId="455AE196" w:rsidR="005C5F0F" w:rsidRPr="005C5F0F" w:rsidRDefault="005C5F0F" w:rsidP="005C5F0F">
      <w:pPr>
        <w:spacing w:line="276" w:lineRule="auto"/>
        <w:rPr>
          <w:rFonts w:cs="Segoe UI Emoji"/>
          <w:sz w:val="22"/>
          <w:szCs w:val="22"/>
        </w:rPr>
      </w:pPr>
      <w:r w:rsidRPr="005C5F0F">
        <w:rPr>
          <w:rFonts w:cs="Segoe UI Emoji"/>
          <w:b/>
          <w:bCs/>
        </w:rPr>
        <w:t>Conclusion &amp; Recommendations</w:t>
      </w:r>
      <w:r w:rsidRPr="005C5F0F">
        <w:rPr>
          <w:rFonts w:cs="Segoe UI Emoji"/>
          <w:sz w:val="22"/>
          <w:szCs w:val="22"/>
        </w:rPr>
        <w:br/>
        <w:t>Conclusion Summary:</w:t>
      </w:r>
      <w:r w:rsidRPr="005C5F0F">
        <w:rPr>
          <w:rFonts w:cs="Segoe UI Emoji"/>
          <w:sz w:val="22"/>
          <w:szCs w:val="22"/>
        </w:rPr>
        <w:br/>
        <w:t>Beyond Meat is facing significant financial challenges driven by persistent declines in revenue, profitability, and liquidity. The company’s margins remain deeply negative, while its liquidity position has weakened over the past several years, signaling potential strain in meeting short-term obligations. Additionally, the rising debt levels, coupled with deteriorating solvency and weak operational efficiency, threaten the company's ability to sustain its operations. Unless strategic changes are implemented, Beyond Meat is at risk of continued financial distress and potential long-term instability.</w:t>
      </w:r>
    </w:p>
    <w:p w14:paraId="6A1A0DAC" w14:textId="77777777" w:rsidR="005C5F0F" w:rsidRPr="005C5F0F" w:rsidRDefault="005C5F0F" w:rsidP="005C5F0F">
      <w:pPr>
        <w:spacing w:line="276" w:lineRule="auto"/>
        <w:rPr>
          <w:rFonts w:cs="Segoe UI Emoji"/>
          <w:sz w:val="22"/>
          <w:szCs w:val="22"/>
        </w:rPr>
      </w:pPr>
      <w:r w:rsidRPr="005C5F0F">
        <w:rPr>
          <w:rFonts w:cs="Segoe UI Emoji"/>
          <w:sz w:val="22"/>
          <w:szCs w:val="22"/>
        </w:rPr>
        <w:t>Recommendations:</w:t>
      </w:r>
      <w:r w:rsidRPr="005C5F0F">
        <w:rPr>
          <w:rFonts w:cs="Segoe UI Emoji"/>
          <w:sz w:val="22"/>
          <w:szCs w:val="22"/>
        </w:rPr>
        <w:br/>
        <w:t>• Optimize Cost Structure: Reduce SG&amp;A and R&amp;D expenditures by 15–20% to improve profitability while focusing on cost-effective growth strategies.</w:t>
      </w:r>
      <w:r w:rsidRPr="005C5F0F">
        <w:rPr>
          <w:rFonts w:cs="Segoe UI Emoji"/>
          <w:sz w:val="22"/>
          <w:szCs w:val="22"/>
        </w:rPr>
        <w:br/>
        <w:t>• Revise Pricing and Cost Strategies: Address volatile gross margins by reassessing product pricing and renegotiating supplier contracts to improve cost controls and stabilize margins.</w:t>
      </w:r>
      <w:r w:rsidRPr="005C5F0F">
        <w:rPr>
          <w:rFonts w:cs="Segoe UI Emoji"/>
          <w:sz w:val="22"/>
          <w:szCs w:val="22"/>
        </w:rPr>
        <w:br/>
        <w:t>• Strategic Partnerships &amp; Joint Ventures: Explore new partnerships or joint ventures to bolster revenue and improve liquidity through shared resources and reduced financial risk.</w:t>
      </w:r>
      <w:r w:rsidRPr="005C5F0F">
        <w:rPr>
          <w:rFonts w:cs="Segoe UI Emoji"/>
          <w:sz w:val="22"/>
          <w:szCs w:val="22"/>
        </w:rPr>
        <w:br/>
        <w:t>• Strengthen Working Capital Management: Implement stricter inventory controls, including better inventory turnover (currently 2.34) and more aggressive cash collections, to free up working capital.</w:t>
      </w:r>
      <w:r w:rsidRPr="005C5F0F">
        <w:rPr>
          <w:rFonts w:cs="Segoe UI Emoji"/>
          <w:sz w:val="22"/>
          <w:szCs w:val="22"/>
        </w:rPr>
        <w:br/>
        <w:t>• Monitor Debt and Financing Structure: Closely monitor the company’s solvency position, especially the negative debt-to-equity ratio, and consider debt restructuring to avoid covenant violations and ensure more sustainable financing options.</w:t>
      </w:r>
    </w:p>
    <w:p w14:paraId="071E357D" w14:textId="77777777" w:rsidR="00704EE4" w:rsidRDefault="00000000" w:rsidP="00704EE4">
      <w:pPr>
        <w:spacing w:line="240" w:lineRule="auto"/>
        <w:rPr>
          <w:sz w:val="22"/>
          <w:szCs w:val="22"/>
        </w:rPr>
      </w:pPr>
      <w:r>
        <w:rPr>
          <w:sz w:val="22"/>
          <w:szCs w:val="22"/>
        </w:rPr>
        <w:pict w14:anchorId="41CB5F9C">
          <v:rect id="_x0000_i1030" style="width:0;height:1.5pt" o:hralign="center" o:bullet="t" o:hrstd="t" o:hr="t" fillcolor="#a0a0a0" stroked="f"/>
        </w:pict>
      </w:r>
    </w:p>
    <w:p w14:paraId="0F310D84" w14:textId="31939DEC" w:rsidR="00BB57C9" w:rsidRPr="00704EE4" w:rsidRDefault="005C5F0F" w:rsidP="00704EE4">
      <w:pPr>
        <w:spacing w:line="240" w:lineRule="auto"/>
        <w:rPr>
          <w:sz w:val="22"/>
          <w:szCs w:val="22"/>
        </w:rPr>
      </w:pPr>
      <w:r w:rsidRPr="005C5F0F">
        <w:rPr>
          <w:b/>
          <w:bCs/>
        </w:rPr>
        <w:lastRenderedPageBreak/>
        <w:t>Appendix</w:t>
      </w:r>
      <w:r w:rsidRPr="005C5F0F">
        <w:rPr>
          <w:b/>
          <w:bCs/>
        </w:rPr>
        <w:br/>
      </w:r>
      <w:r w:rsidRPr="005C5F0F">
        <w:rPr>
          <w:sz w:val="22"/>
          <w:szCs w:val="22"/>
        </w:rPr>
        <w:t>• Full financial statements (raw and cleaned) – Available on GitHub</w:t>
      </w:r>
      <w:r w:rsidRPr="005C5F0F">
        <w:rPr>
          <w:sz w:val="22"/>
          <w:szCs w:val="22"/>
        </w:rPr>
        <w:br/>
        <w:t>• SQL query samples – Full queries accessible on GitHub</w:t>
      </w:r>
      <w:r w:rsidRPr="005C5F0F">
        <w:rPr>
          <w:sz w:val="22"/>
          <w:szCs w:val="22"/>
        </w:rPr>
        <w:br/>
        <w:t>• Power BI Dashboard – Screenshots and interactive version available on GitHub</w:t>
      </w:r>
      <w:r w:rsidRPr="005C5F0F">
        <w:rPr>
          <w:sz w:val="22"/>
          <w:szCs w:val="22"/>
        </w:rPr>
        <w:br/>
        <w:t>• Python script snippets – Key scripts for data preprocessing available on GitHub</w:t>
      </w:r>
      <w:r w:rsidRPr="005C5F0F">
        <w:rPr>
          <w:sz w:val="22"/>
          <w:szCs w:val="22"/>
        </w:rPr>
        <w:br/>
        <w:t>• Definitions of key financial ratios – Definitions can be found in the GitHub repo or attached documentation</w:t>
      </w:r>
    </w:p>
    <w:sectPr w:rsidR="00BB57C9" w:rsidRPr="00704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0E1A"/>
    <w:multiLevelType w:val="multilevel"/>
    <w:tmpl w:val="7F84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66FE7"/>
    <w:multiLevelType w:val="multilevel"/>
    <w:tmpl w:val="7F50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20F38"/>
    <w:multiLevelType w:val="multilevel"/>
    <w:tmpl w:val="2E82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7222B"/>
    <w:multiLevelType w:val="multilevel"/>
    <w:tmpl w:val="1D8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E3372"/>
    <w:multiLevelType w:val="multilevel"/>
    <w:tmpl w:val="CE46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30393"/>
    <w:multiLevelType w:val="multilevel"/>
    <w:tmpl w:val="BD1A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9103C"/>
    <w:multiLevelType w:val="multilevel"/>
    <w:tmpl w:val="E318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23A14"/>
    <w:multiLevelType w:val="multilevel"/>
    <w:tmpl w:val="8176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A7A61"/>
    <w:multiLevelType w:val="multilevel"/>
    <w:tmpl w:val="7030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0718A"/>
    <w:multiLevelType w:val="multilevel"/>
    <w:tmpl w:val="17BE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1214E"/>
    <w:multiLevelType w:val="multilevel"/>
    <w:tmpl w:val="EAF6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62246"/>
    <w:multiLevelType w:val="multilevel"/>
    <w:tmpl w:val="3A5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F61C5"/>
    <w:multiLevelType w:val="multilevel"/>
    <w:tmpl w:val="1EE2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069B0"/>
    <w:multiLevelType w:val="multilevel"/>
    <w:tmpl w:val="C808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337BE"/>
    <w:multiLevelType w:val="hybridMultilevel"/>
    <w:tmpl w:val="83362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E7D2A"/>
    <w:multiLevelType w:val="multilevel"/>
    <w:tmpl w:val="3F4A5134"/>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B33E06"/>
    <w:multiLevelType w:val="multilevel"/>
    <w:tmpl w:val="340A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366C1"/>
    <w:multiLevelType w:val="multilevel"/>
    <w:tmpl w:val="7A22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016B1"/>
    <w:multiLevelType w:val="multilevel"/>
    <w:tmpl w:val="97F8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02C4C"/>
    <w:multiLevelType w:val="multilevel"/>
    <w:tmpl w:val="48EE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06EC5"/>
    <w:multiLevelType w:val="multilevel"/>
    <w:tmpl w:val="80D2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8202E"/>
    <w:multiLevelType w:val="multilevel"/>
    <w:tmpl w:val="6638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25D65"/>
    <w:multiLevelType w:val="multilevel"/>
    <w:tmpl w:val="7556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BF1BFB"/>
    <w:multiLevelType w:val="multilevel"/>
    <w:tmpl w:val="4264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645494"/>
    <w:multiLevelType w:val="hybridMultilevel"/>
    <w:tmpl w:val="F138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E220D1"/>
    <w:multiLevelType w:val="multilevel"/>
    <w:tmpl w:val="3992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867949">
    <w:abstractNumId w:val="13"/>
  </w:num>
  <w:num w:numId="2" w16cid:durableId="894701937">
    <w:abstractNumId w:val="8"/>
  </w:num>
  <w:num w:numId="3" w16cid:durableId="1750733750">
    <w:abstractNumId w:val="19"/>
  </w:num>
  <w:num w:numId="4" w16cid:durableId="132186397">
    <w:abstractNumId w:val="21"/>
  </w:num>
  <w:num w:numId="5" w16cid:durableId="645861970">
    <w:abstractNumId w:val="20"/>
  </w:num>
  <w:num w:numId="6" w16cid:durableId="29847365">
    <w:abstractNumId w:val="0"/>
  </w:num>
  <w:num w:numId="7" w16cid:durableId="713040721">
    <w:abstractNumId w:val="22"/>
  </w:num>
  <w:num w:numId="8" w16cid:durableId="1319453767">
    <w:abstractNumId w:val="1"/>
  </w:num>
  <w:num w:numId="9" w16cid:durableId="44988521">
    <w:abstractNumId w:val="7"/>
  </w:num>
  <w:num w:numId="10" w16cid:durableId="1804762206">
    <w:abstractNumId w:val="9"/>
  </w:num>
  <w:num w:numId="11" w16cid:durableId="605579885">
    <w:abstractNumId w:val="2"/>
  </w:num>
  <w:num w:numId="12" w16cid:durableId="1060133922">
    <w:abstractNumId w:val="5"/>
  </w:num>
  <w:num w:numId="13" w16cid:durableId="71971853">
    <w:abstractNumId w:val="18"/>
  </w:num>
  <w:num w:numId="14" w16cid:durableId="499779862">
    <w:abstractNumId w:val="3"/>
  </w:num>
  <w:num w:numId="15" w16cid:durableId="1332873236">
    <w:abstractNumId w:val="17"/>
  </w:num>
  <w:num w:numId="16" w16cid:durableId="366176744">
    <w:abstractNumId w:val="4"/>
  </w:num>
  <w:num w:numId="17" w16cid:durableId="344404976">
    <w:abstractNumId w:val="10"/>
  </w:num>
  <w:num w:numId="18" w16cid:durableId="229731631">
    <w:abstractNumId w:val="11"/>
  </w:num>
  <w:num w:numId="19" w16cid:durableId="949119016">
    <w:abstractNumId w:val="25"/>
  </w:num>
  <w:num w:numId="20" w16cid:durableId="1661498289">
    <w:abstractNumId w:val="6"/>
  </w:num>
  <w:num w:numId="21" w16cid:durableId="488056932">
    <w:abstractNumId w:val="14"/>
  </w:num>
  <w:num w:numId="22" w16cid:durableId="312679942">
    <w:abstractNumId w:val="24"/>
  </w:num>
  <w:num w:numId="23" w16cid:durableId="494031493">
    <w:abstractNumId w:val="15"/>
  </w:num>
  <w:num w:numId="24" w16cid:durableId="900674609">
    <w:abstractNumId w:val="16"/>
  </w:num>
  <w:num w:numId="25" w16cid:durableId="917523545">
    <w:abstractNumId w:val="23"/>
  </w:num>
  <w:num w:numId="26" w16cid:durableId="5965247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7C9"/>
    <w:rsid w:val="0006125A"/>
    <w:rsid w:val="00105DA4"/>
    <w:rsid w:val="0013360C"/>
    <w:rsid w:val="001F2B9E"/>
    <w:rsid w:val="0029724D"/>
    <w:rsid w:val="0030428A"/>
    <w:rsid w:val="003242C7"/>
    <w:rsid w:val="003E4361"/>
    <w:rsid w:val="005100C5"/>
    <w:rsid w:val="005719A5"/>
    <w:rsid w:val="005A2D99"/>
    <w:rsid w:val="005C5F0F"/>
    <w:rsid w:val="006A35E5"/>
    <w:rsid w:val="006C3FA9"/>
    <w:rsid w:val="006C76D8"/>
    <w:rsid w:val="00704EE4"/>
    <w:rsid w:val="0080538B"/>
    <w:rsid w:val="0082409F"/>
    <w:rsid w:val="00861374"/>
    <w:rsid w:val="00917822"/>
    <w:rsid w:val="00967EF1"/>
    <w:rsid w:val="009A1CF7"/>
    <w:rsid w:val="00AF653C"/>
    <w:rsid w:val="00BB57C9"/>
    <w:rsid w:val="00C018AD"/>
    <w:rsid w:val="00C331D3"/>
    <w:rsid w:val="00CC172E"/>
    <w:rsid w:val="00CC37D7"/>
    <w:rsid w:val="00CF6B2E"/>
    <w:rsid w:val="00E0748D"/>
    <w:rsid w:val="00E72041"/>
    <w:rsid w:val="00F7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7B8A"/>
  <w15:chartTrackingRefBased/>
  <w15:docId w15:val="{3469ADFF-BB19-4D27-AED1-ADF8B171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7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7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7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7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7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7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7C9"/>
    <w:rPr>
      <w:rFonts w:eastAsiaTheme="majorEastAsia" w:cstheme="majorBidi"/>
      <w:color w:val="272727" w:themeColor="text1" w:themeTint="D8"/>
    </w:rPr>
  </w:style>
  <w:style w:type="paragraph" w:styleId="Title">
    <w:name w:val="Title"/>
    <w:basedOn w:val="Normal"/>
    <w:next w:val="Normal"/>
    <w:link w:val="TitleChar"/>
    <w:uiPriority w:val="10"/>
    <w:qFormat/>
    <w:rsid w:val="00BB5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7C9"/>
    <w:pPr>
      <w:spacing w:before="160"/>
      <w:jc w:val="center"/>
    </w:pPr>
    <w:rPr>
      <w:i/>
      <w:iCs/>
      <w:color w:val="404040" w:themeColor="text1" w:themeTint="BF"/>
    </w:rPr>
  </w:style>
  <w:style w:type="character" w:customStyle="1" w:styleId="QuoteChar">
    <w:name w:val="Quote Char"/>
    <w:basedOn w:val="DefaultParagraphFont"/>
    <w:link w:val="Quote"/>
    <w:uiPriority w:val="29"/>
    <w:rsid w:val="00BB57C9"/>
    <w:rPr>
      <w:i/>
      <w:iCs/>
      <w:color w:val="404040" w:themeColor="text1" w:themeTint="BF"/>
    </w:rPr>
  </w:style>
  <w:style w:type="paragraph" w:styleId="ListParagraph">
    <w:name w:val="List Paragraph"/>
    <w:basedOn w:val="Normal"/>
    <w:uiPriority w:val="34"/>
    <w:qFormat/>
    <w:rsid w:val="00BB57C9"/>
    <w:pPr>
      <w:ind w:left="720"/>
      <w:contextualSpacing/>
    </w:pPr>
  </w:style>
  <w:style w:type="character" w:styleId="IntenseEmphasis">
    <w:name w:val="Intense Emphasis"/>
    <w:basedOn w:val="DefaultParagraphFont"/>
    <w:uiPriority w:val="21"/>
    <w:qFormat/>
    <w:rsid w:val="00BB57C9"/>
    <w:rPr>
      <w:i/>
      <w:iCs/>
      <w:color w:val="0F4761" w:themeColor="accent1" w:themeShade="BF"/>
    </w:rPr>
  </w:style>
  <w:style w:type="paragraph" w:styleId="IntenseQuote">
    <w:name w:val="Intense Quote"/>
    <w:basedOn w:val="Normal"/>
    <w:next w:val="Normal"/>
    <w:link w:val="IntenseQuoteChar"/>
    <w:uiPriority w:val="30"/>
    <w:qFormat/>
    <w:rsid w:val="00BB5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7C9"/>
    <w:rPr>
      <w:i/>
      <w:iCs/>
      <w:color w:val="0F4761" w:themeColor="accent1" w:themeShade="BF"/>
    </w:rPr>
  </w:style>
  <w:style w:type="character" w:styleId="IntenseReference">
    <w:name w:val="Intense Reference"/>
    <w:basedOn w:val="DefaultParagraphFont"/>
    <w:uiPriority w:val="32"/>
    <w:qFormat/>
    <w:rsid w:val="00BB57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26965">
      <w:bodyDiv w:val="1"/>
      <w:marLeft w:val="0"/>
      <w:marRight w:val="0"/>
      <w:marTop w:val="0"/>
      <w:marBottom w:val="0"/>
      <w:divBdr>
        <w:top w:val="none" w:sz="0" w:space="0" w:color="auto"/>
        <w:left w:val="none" w:sz="0" w:space="0" w:color="auto"/>
        <w:bottom w:val="none" w:sz="0" w:space="0" w:color="auto"/>
        <w:right w:val="none" w:sz="0" w:space="0" w:color="auto"/>
      </w:divBdr>
    </w:div>
    <w:div w:id="249778159">
      <w:bodyDiv w:val="1"/>
      <w:marLeft w:val="0"/>
      <w:marRight w:val="0"/>
      <w:marTop w:val="0"/>
      <w:marBottom w:val="0"/>
      <w:divBdr>
        <w:top w:val="none" w:sz="0" w:space="0" w:color="auto"/>
        <w:left w:val="none" w:sz="0" w:space="0" w:color="auto"/>
        <w:bottom w:val="none" w:sz="0" w:space="0" w:color="auto"/>
        <w:right w:val="none" w:sz="0" w:space="0" w:color="auto"/>
      </w:divBdr>
    </w:div>
    <w:div w:id="371346056">
      <w:bodyDiv w:val="1"/>
      <w:marLeft w:val="0"/>
      <w:marRight w:val="0"/>
      <w:marTop w:val="0"/>
      <w:marBottom w:val="0"/>
      <w:divBdr>
        <w:top w:val="none" w:sz="0" w:space="0" w:color="auto"/>
        <w:left w:val="none" w:sz="0" w:space="0" w:color="auto"/>
        <w:bottom w:val="none" w:sz="0" w:space="0" w:color="auto"/>
        <w:right w:val="none" w:sz="0" w:space="0" w:color="auto"/>
      </w:divBdr>
    </w:div>
    <w:div w:id="495195090">
      <w:bodyDiv w:val="1"/>
      <w:marLeft w:val="0"/>
      <w:marRight w:val="0"/>
      <w:marTop w:val="0"/>
      <w:marBottom w:val="0"/>
      <w:divBdr>
        <w:top w:val="none" w:sz="0" w:space="0" w:color="auto"/>
        <w:left w:val="none" w:sz="0" w:space="0" w:color="auto"/>
        <w:bottom w:val="none" w:sz="0" w:space="0" w:color="auto"/>
        <w:right w:val="none" w:sz="0" w:space="0" w:color="auto"/>
      </w:divBdr>
    </w:div>
    <w:div w:id="896625235">
      <w:bodyDiv w:val="1"/>
      <w:marLeft w:val="0"/>
      <w:marRight w:val="0"/>
      <w:marTop w:val="0"/>
      <w:marBottom w:val="0"/>
      <w:divBdr>
        <w:top w:val="none" w:sz="0" w:space="0" w:color="auto"/>
        <w:left w:val="none" w:sz="0" w:space="0" w:color="auto"/>
        <w:bottom w:val="none" w:sz="0" w:space="0" w:color="auto"/>
        <w:right w:val="none" w:sz="0" w:space="0" w:color="auto"/>
      </w:divBdr>
    </w:div>
    <w:div w:id="938369645">
      <w:bodyDiv w:val="1"/>
      <w:marLeft w:val="0"/>
      <w:marRight w:val="0"/>
      <w:marTop w:val="0"/>
      <w:marBottom w:val="0"/>
      <w:divBdr>
        <w:top w:val="none" w:sz="0" w:space="0" w:color="auto"/>
        <w:left w:val="none" w:sz="0" w:space="0" w:color="auto"/>
        <w:bottom w:val="none" w:sz="0" w:space="0" w:color="auto"/>
        <w:right w:val="none" w:sz="0" w:space="0" w:color="auto"/>
      </w:divBdr>
    </w:div>
    <w:div w:id="978457202">
      <w:bodyDiv w:val="1"/>
      <w:marLeft w:val="0"/>
      <w:marRight w:val="0"/>
      <w:marTop w:val="0"/>
      <w:marBottom w:val="0"/>
      <w:divBdr>
        <w:top w:val="none" w:sz="0" w:space="0" w:color="auto"/>
        <w:left w:val="none" w:sz="0" w:space="0" w:color="auto"/>
        <w:bottom w:val="none" w:sz="0" w:space="0" w:color="auto"/>
        <w:right w:val="none" w:sz="0" w:space="0" w:color="auto"/>
      </w:divBdr>
    </w:div>
    <w:div w:id="1088236684">
      <w:bodyDiv w:val="1"/>
      <w:marLeft w:val="0"/>
      <w:marRight w:val="0"/>
      <w:marTop w:val="0"/>
      <w:marBottom w:val="0"/>
      <w:divBdr>
        <w:top w:val="none" w:sz="0" w:space="0" w:color="auto"/>
        <w:left w:val="none" w:sz="0" w:space="0" w:color="auto"/>
        <w:bottom w:val="none" w:sz="0" w:space="0" w:color="auto"/>
        <w:right w:val="none" w:sz="0" w:space="0" w:color="auto"/>
      </w:divBdr>
    </w:div>
    <w:div w:id="1140146079">
      <w:bodyDiv w:val="1"/>
      <w:marLeft w:val="0"/>
      <w:marRight w:val="0"/>
      <w:marTop w:val="0"/>
      <w:marBottom w:val="0"/>
      <w:divBdr>
        <w:top w:val="none" w:sz="0" w:space="0" w:color="auto"/>
        <w:left w:val="none" w:sz="0" w:space="0" w:color="auto"/>
        <w:bottom w:val="none" w:sz="0" w:space="0" w:color="auto"/>
        <w:right w:val="none" w:sz="0" w:space="0" w:color="auto"/>
      </w:divBdr>
    </w:div>
    <w:div w:id="1408380748">
      <w:bodyDiv w:val="1"/>
      <w:marLeft w:val="0"/>
      <w:marRight w:val="0"/>
      <w:marTop w:val="0"/>
      <w:marBottom w:val="0"/>
      <w:divBdr>
        <w:top w:val="none" w:sz="0" w:space="0" w:color="auto"/>
        <w:left w:val="none" w:sz="0" w:space="0" w:color="auto"/>
        <w:bottom w:val="none" w:sz="0" w:space="0" w:color="auto"/>
        <w:right w:val="none" w:sz="0" w:space="0" w:color="auto"/>
      </w:divBdr>
    </w:div>
    <w:div w:id="1575117224">
      <w:bodyDiv w:val="1"/>
      <w:marLeft w:val="0"/>
      <w:marRight w:val="0"/>
      <w:marTop w:val="0"/>
      <w:marBottom w:val="0"/>
      <w:divBdr>
        <w:top w:val="none" w:sz="0" w:space="0" w:color="auto"/>
        <w:left w:val="none" w:sz="0" w:space="0" w:color="auto"/>
        <w:bottom w:val="none" w:sz="0" w:space="0" w:color="auto"/>
        <w:right w:val="none" w:sz="0" w:space="0" w:color="auto"/>
      </w:divBdr>
    </w:div>
    <w:div w:id="1593203941">
      <w:bodyDiv w:val="1"/>
      <w:marLeft w:val="0"/>
      <w:marRight w:val="0"/>
      <w:marTop w:val="0"/>
      <w:marBottom w:val="0"/>
      <w:divBdr>
        <w:top w:val="none" w:sz="0" w:space="0" w:color="auto"/>
        <w:left w:val="none" w:sz="0" w:space="0" w:color="auto"/>
        <w:bottom w:val="none" w:sz="0" w:space="0" w:color="auto"/>
        <w:right w:val="none" w:sz="0" w:space="0" w:color="auto"/>
      </w:divBdr>
    </w:div>
    <w:div w:id="1872066294">
      <w:bodyDiv w:val="1"/>
      <w:marLeft w:val="0"/>
      <w:marRight w:val="0"/>
      <w:marTop w:val="0"/>
      <w:marBottom w:val="0"/>
      <w:divBdr>
        <w:top w:val="none" w:sz="0" w:space="0" w:color="auto"/>
        <w:left w:val="none" w:sz="0" w:space="0" w:color="auto"/>
        <w:bottom w:val="none" w:sz="0" w:space="0" w:color="auto"/>
        <w:right w:val="none" w:sz="0" w:space="0" w:color="auto"/>
      </w:divBdr>
    </w:div>
    <w:div w:id="1957330696">
      <w:bodyDiv w:val="1"/>
      <w:marLeft w:val="0"/>
      <w:marRight w:val="0"/>
      <w:marTop w:val="0"/>
      <w:marBottom w:val="0"/>
      <w:divBdr>
        <w:top w:val="none" w:sz="0" w:space="0" w:color="auto"/>
        <w:left w:val="none" w:sz="0" w:space="0" w:color="auto"/>
        <w:bottom w:val="none" w:sz="0" w:space="0" w:color="auto"/>
        <w:right w:val="none" w:sz="0" w:space="0" w:color="auto"/>
      </w:divBdr>
    </w:div>
    <w:div w:id="2050300074">
      <w:bodyDiv w:val="1"/>
      <w:marLeft w:val="0"/>
      <w:marRight w:val="0"/>
      <w:marTop w:val="0"/>
      <w:marBottom w:val="0"/>
      <w:divBdr>
        <w:top w:val="none" w:sz="0" w:space="0" w:color="auto"/>
        <w:left w:val="none" w:sz="0" w:space="0" w:color="auto"/>
        <w:bottom w:val="none" w:sz="0" w:space="0" w:color="auto"/>
        <w:right w:val="none" w:sz="0" w:space="0" w:color="auto"/>
      </w:divBdr>
    </w:div>
    <w:div w:id="206421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6</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 Dim</dc:creator>
  <cp:keywords/>
  <dc:description/>
  <cp:lastModifiedBy>Stu Dim</cp:lastModifiedBy>
  <cp:revision>6</cp:revision>
  <dcterms:created xsi:type="dcterms:W3CDTF">2025-04-04T00:44:00Z</dcterms:created>
  <dcterms:modified xsi:type="dcterms:W3CDTF">2025-04-09T16:13:00Z</dcterms:modified>
</cp:coreProperties>
</file>