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4CC1B" w14:textId="77777777" w:rsidR="004004CE" w:rsidRPr="004004CE" w:rsidRDefault="004004CE" w:rsidP="004004CE">
      <w:pPr>
        <w:rPr>
          <w:b/>
          <w:bCs/>
        </w:rPr>
      </w:pPr>
      <w:r w:rsidRPr="004004CE">
        <w:rPr>
          <w:b/>
          <w:bCs/>
        </w:rPr>
        <w:t>Financial Health Analysis of Beyond Meat, Inc. (2021–2024)</w:t>
      </w:r>
    </w:p>
    <w:p w14:paraId="7776F92D" w14:textId="77777777" w:rsidR="004004CE" w:rsidRPr="004004CE" w:rsidRDefault="004004CE" w:rsidP="004004CE">
      <w:r w:rsidRPr="004004CE">
        <w:rPr>
          <w:b/>
          <w:bCs/>
        </w:rPr>
        <w:t>Analyst:</w:t>
      </w:r>
      <w:r w:rsidRPr="004004CE">
        <w:t xml:space="preserve"> Krastiu Dimov</w:t>
      </w:r>
      <w:r w:rsidRPr="004004CE">
        <w:br/>
      </w:r>
      <w:r w:rsidRPr="004004CE">
        <w:rPr>
          <w:b/>
          <w:bCs/>
        </w:rPr>
        <w:t>Tools Used:</w:t>
      </w:r>
      <w:r w:rsidRPr="004004CE">
        <w:t xml:space="preserve"> Python, SQL, Power BI, Excel</w:t>
      </w:r>
    </w:p>
    <w:p w14:paraId="2A423D98" w14:textId="77777777" w:rsidR="004004CE" w:rsidRPr="004004CE" w:rsidRDefault="004004CE" w:rsidP="004004CE">
      <w:r w:rsidRPr="004004CE">
        <w:pict w14:anchorId="0A47D785">
          <v:rect id="_x0000_i1081" style="width:0;height:1.5pt" o:hralign="center" o:hrstd="t" o:hr="t" fillcolor="#a0a0a0" stroked="f"/>
        </w:pict>
      </w:r>
    </w:p>
    <w:p w14:paraId="4A41A8A4" w14:textId="77777777" w:rsidR="004004CE" w:rsidRPr="004004CE" w:rsidRDefault="004004CE" w:rsidP="004004CE">
      <w:pPr>
        <w:rPr>
          <w:b/>
          <w:bCs/>
        </w:rPr>
      </w:pPr>
      <w:r w:rsidRPr="004004CE">
        <w:rPr>
          <w:b/>
          <w:bCs/>
        </w:rPr>
        <w:t>Executive Summary</w:t>
      </w:r>
    </w:p>
    <w:p w14:paraId="53EF6CCD" w14:textId="77777777" w:rsidR="004004CE" w:rsidRPr="004004CE" w:rsidRDefault="004004CE" w:rsidP="004004CE">
      <w:r w:rsidRPr="004004CE">
        <w:t>This report presents a financial health analysis of Beyond Meat, Inc. between 2021 and 2024, focusing on profitability, liquidity, solvency, efficiency, and cash flow. The findings highlight critical weaknesses in profitability and solvency, modest improvements in cost management, and structural issues in cash flow sustainability.</w:t>
      </w:r>
    </w:p>
    <w:p w14:paraId="232DCA6B" w14:textId="77777777" w:rsidR="004004CE" w:rsidRPr="004004CE" w:rsidRDefault="004004CE" w:rsidP="004004CE">
      <w:r w:rsidRPr="004004CE">
        <w:rPr>
          <w:b/>
          <w:bCs/>
        </w:rPr>
        <w:t>Key Findings</w:t>
      </w:r>
    </w:p>
    <w:p w14:paraId="2EBB2B76" w14:textId="77777777" w:rsidR="004004CE" w:rsidRPr="004004CE" w:rsidRDefault="004004CE" w:rsidP="004004CE">
      <w:pPr>
        <w:numPr>
          <w:ilvl w:val="0"/>
          <w:numId w:val="27"/>
        </w:numPr>
      </w:pPr>
      <w:r w:rsidRPr="004004CE">
        <w:rPr>
          <w:b/>
          <w:bCs/>
        </w:rPr>
        <w:t>Persistent Profitability Crisis</w:t>
      </w:r>
      <w:r w:rsidRPr="004004CE">
        <w:t xml:space="preserve"> – Revenue declined 18% YoY (2022–2023) and margins remain negative. While gross margin improved from -24% in 2023 to 13% in 2024, net margin was still -49%.</w:t>
      </w:r>
    </w:p>
    <w:p w14:paraId="5D7F175F" w14:textId="77777777" w:rsidR="004004CE" w:rsidRPr="004004CE" w:rsidRDefault="004004CE" w:rsidP="004004CE">
      <w:pPr>
        <w:numPr>
          <w:ilvl w:val="0"/>
          <w:numId w:val="27"/>
        </w:numPr>
      </w:pPr>
      <w:r w:rsidRPr="004004CE">
        <w:rPr>
          <w:b/>
          <w:bCs/>
        </w:rPr>
        <w:t>Critical Solvency Concerns</w:t>
      </w:r>
      <w:r w:rsidRPr="004004CE">
        <w:t xml:space="preserve"> – Debt ratio rose to 1.8 in 2024, liabilities exceeded assets, and shareholder equity turned negative. The debt-to-equity ratio remained negative across 2022–2024.</w:t>
      </w:r>
    </w:p>
    <w:p w14:paraId="6FB0789E" w14:textId="77777777" w:rsidR="004004CE" w:rsidRPr="004004CE" w:rsidRDefault="004004CE" w:rsidP="004004CE">
      <w:pPr>
        <w:numPr>
          <w:ilvl w:val="0"/>
          <w:numId w:val="27"/>
        </w:numPr>
      </w:pPr>
      <w:r w:rsidRPr="004004CE">
        <w:rPr>
          <w:b/>
          <w:bCs/>
        </w:rPr>
        <w:t>Cash Flow Weakness</w:t>
      </w:r>
      <w:r w:rsidRPr="004004CE">
        <w:t xml:space="preserve"> – Free cash flow remained negative. Operating cash flow to net income ratio fell from 1.65 (2021) to 0.62 (2024), signaling declining ability to convert losses into cash.</w:t>
      </w:r>
    </w:p>
    <w:p w14:paraId="60102ED2" w14:textId="77777777" w:rsidR="004004CE" w:rsidRPr="004004CE" w:rsidRDefault="004004CE" w:rsidP="004004CE">
      <w:pPr>
        <w:numPr>
          <w:ilvl w:val="0"/>
          <w:numId w:val="27"/>
        </w:numPr>
      </w:pPr>
      <w:r w:rsidRPr="004004CE">
        <w:rPr>
          <w:b/>
          <w:bCs/>
        </w:rPr>
        <w:t>Operational Pockets of Improvement</w:t>
      </w:r>
      <w:r w:rsidRPr="004004CE">
        <w:t xml:space="preserve"> – Inventory turnover improved from 1.85 (2022) to 2.34 (2024), and Days Sales Outstanding (DSO) remained stable at ~30–34 days.</w:t>
      </w:r>
    </w:p>
    <w:p w14:paraId="67E11E01" w14:textId="77777777" w:rsidR="004004CE" w:rsidRPr="004004CE" w:rsidRDefault="004004CE" w:rsidP="004004CE">
      <w:pPr>
        <w:numPr>
          <w:ilvl w:val="0"/>
          <w:numId w:val="27"/>
        </w:numPr>
      </w:pPr>
      <w:r w:rsidRPr="004004CE">
        <w:rPr>
          <w:b/>
          <w:bCs/>
        </w:rPr>
        <w:t>Industry Context</w:t>
      </w:r>
      <w:r w:rsidRPr="004004CE">
        <w:t xml:space="preserve"> – Beyond Meat underperformed industry benchmarks (gross margin 25–35%, inventory turnover 7–8x) and faced intensified competition from Impossible Foods, Tyson, and private-label brands.</w:t>
      </w:r>
    </w:p>
    <w:p w14:paraId="424905E6" w14:textId="77777777" w:rsidR="004004CE" w:rsidRPr="004004CE" w:rsidRDefault="004004CE" w:rsidP="004004CE">
      <w:r w:rsidRPr="004004CE">
        <w:rPr>
          <w:b/>
          <w:bCs/>
        </w:rPr>
        <w:t>Overall Assessment:</w:t>
      </w:r>
      <w:r w:rsidRPr="004004CE">
        <w:t xml:space="preserve"> Beyond Meat faces imminent financial distress without urgent restructuring. Improvements in gross margin and inventory efficiency show some stabilization, but liquidity, solvency, and profitability remain far below sustainable levels.</w:t>
      </w:r>
    </w:p>
    <w:p w14:paraId="067413DD" w14:textId="77777777" w:rsidR="004004CE" w:rsidRPr="004004CE" w:rsidRDefault="004004CE" w:rsidP="004004CE">
      <w:r w:rsidRPr="004004CE">
        <w:pict w14:anchorId="0123C231">
          <v:rect id="_x0000_i1082" style="width:0;height:1.5pt" o:hralign="center" o:hrstd="t" o:hr="t" fillcolor="#a0a0a0" stroked="f"/>
        </w:pict>
      </w:r>
    </w:p>
    <w:p w14:paraId="3C97E607" w14:textId="77777777" w:rsidR="004004CE" w:rsidRDefault="004004CE" w:rsidP="004004CE">
      <w:pPr>
        <w:rPr>
          <w:b/>
          <w:bCs/>
        </w:rPr>
      </w:pPr>
    </w:p>
    <w:p w14:paraId="50A5AD8D" w14:textId="77777777" w:rsidR="004004CE" w:rsidRDefault="004004CE" w:rsidP="004004CE">
      <w:pPr>
        <w:rPr>
          <w:b/>
          <w:bCs/>
        </w:rPr>
      </w:pPr>
    </w:p>
    <w:p w14:paraId="2E2AA774" w14:textId="2A606F97" w:rsidR="004004CE" w:rsidRPr="004004CE" w:rsidRDefault="004004CE" w:rsidP="004004CE">
      <w:pPr>
        <w:rPr>
          <w:b/>
          <w:bCs/>
        </w:rPr>
      </w:pPr>
      <w:r w:rsidRPr="004004CE">
        <w:rPr>
          <w:b/>
          <w:bCs/>
        </w:rPr>
        <w:lastRenderedPageBreak/>
        <w:t>Objective &amp; Approach</w:t>
      </w:r>
    </w:p>
    <w:p w14:paraId="3566E063" w14:textId="77777777" w:rsidR="004004CE" w:rsidRPr="004004CE" w:rsidRDefault="004004CE" w:rsidP="004004CE">
      <w:r w:rsidRPr="004004CE">
        <w:rPr>
          <w:b/>
          <w:bCs/>
        </w:rPr>
        <w:t>Objective</w:t>
      </w:r>
    </w:p>
    <w:p w14:paraId="46BB083C" w14:textId="77777777" w:rsidR="004004CE" w:rsidRPr="004004CE" w:rsidRDefault="004004CE" w:rsidP="004004CE">
      <w:pPr>
        <w:numPr>
          <w:ilvl w:val="0"/>
          <w:numId w:val="28"/>
        </w:numPr>
      </w:pPr>
      <w:r w:rsidRPr="004004CE">
        <w:t>Assess Beyond Meat’s financial sustainability in the short and long term.</w:t>
      </w:r>
    </w:p>
    <w:p w14:paraId="1037D093" w14:textId="77777777" w:rsidR="004004CE" w:rsidRPr="004004CE" w:rsidRDefault="004004CE" w:rsidP="004004CE">
      <w:pPr>
        <w:numPr>
          <w:ilvl w:val="0"/>
          <w:numId w:val="28"/>
        </w:numPr>
      </w:pPr>
      <w:r w:rsidRPr="004004CE">
        <w:t>Identify drivers of financial decline.</w:t>
      </w:r>
    </w:p>
    <w:p w14:paraId="484944A9" w14:textId="77777777" w:rsidR="004004CE" w:rsidRPr="004004CE" w:rsidRDefault="004004CE" w:rsidP="004004CE">
      <w:pPr>
        <w:numPr>
          <w:ilvl w:val="0"/>
          <w:numId w:val="28"/>
        </w:numPr>
      </w:pPr>
      <w:r w:rsidRPr="004004CE">
        <w:t>Provide actionable recommendations for stabilization.</w:t>
      </w:r>
    </w:p>
    <w:p w14:paraId="3DDBD625" w14:textId="77777777" w:rsidR="004004CE" w:rsidRPr="004004CE" w:rsidRDefault="004004CE" w:rsidP="004004CE">
      <w:r w:rsidRPr="004004CE">
        <w:rPr>
          <w:b/>
          <w:bCs/>
        </w:rPr>
        <w:t>Tools &amp; Methods</w:t>
      </w:r>
    </w:p>
    <w:p w14:paraId="35B31F9C" w14:textId="77777777" w:rsidR="004004CE" w:rsidRPr="004004CE" w:rsidRDefault="004004CE" w:rsidP="004004CE">
      <w:pPr>
        <w:numPr>
          <w:ilvl w:val="0"/>
          <w:numId w:val="29"/>
        </w:numPr>
      </w:pPr>
      <w:r w:rsidRPr="004004CE">
        <w:t>SQL for data cleaning and financial ratio calculations.</w:t>
      </w:r>
    </w:p>
    <w:p w14:paraId="33D0792B" w14:textId="77777777" w:rsidR="004004CE" w:rsidRPr="004004CE" w:rsidRDefault="004004CE" w:rsidP="004004CE">
      <w:pPr>
        <w:numPr>
          <w:ilvl w:val="0"/>
          <w:numId w:val="29"/>
        </w:numPr>
      </w:pPr>
      <w:r w:rsidRPr="004004CE">
        <w:t>Python for data ingestion and preprocessing.</w:t>
      </w:r>
    </w:p>
    <w:p w14:paraId="5FC523C3" w14:textId="77777777" w:rsidR="004004CE" w:rsidRPr="004004CE" w:rsidRDefault="004004CE" w:rsidP="004004CE">
      <w:pPr>
        <w:numPr>
          <w:ilvl w:val="0"/>
          <w:numId w:val="29"/>
        </w:numPr>
      </w:pPr>
      <w:r w:rsidRPr="004004CE">
        <w:t>Power BI for KPI dashboards and trend visualization.</w:t>
      </w:r>
    </w:p>
    <w:p w14:paraId="28F9D213" w14:textId="77777777" w:rsidR="004004CE" w:rsidRPr="004004CE" w:rsidRDefault="004004CE" w:rsidP="004004CE">
      <w:pPr>
        <w:numPr>
          <w:ilvl w:val="0"/>
          <w:numId w:val="29"/>
        </w:numPr>
      </w:pPr>
      <w:r w:rsidRPr="004004CE">
        <w:t>Excel for data validation.</w:t>
      </w:r>
    </w:p>
    <w:p w14:paraId="12FCDB67" w14:textId="77777777" w:rsidR="004004CE" w:rsidRPr="004004CE" w:rsidRDefault="004004CE" w:rsidP="004004CE">
      <w:r w:rsidRPr="004004CE">
        <w:pict w14:anchorId="53DD801B">
          <v:rect id="_x0000_i1083" style="width:0;height:1.5pt" o:hralign="center" o:hrstd="t" o:hr="t" fillcolor="#a0a0a0" stroked="f"/>
        </w:pict>
      </w:r>
    </w:p>
    <w:p w14:paraId="0979B040" w14:textId="77777777" w:rsidR="004004CE" w:rsidRPr="004004CE" w:rsidRDefault="004004CE" w:rsidP="004004CE">
      <w:pPr>
        <w:rPr>
          <w:b/>
          <w:bCs/>
        </w:rPr>
      </w:pPr>
      <w:r w:rsidRPr="004004CE">
        <w:rPr>
          <w:b/>
          <w:bCs/>
        </w:rPr>
        <w:t>Data &amp; Methodology</w:t>
      </w:r>
    </w:p>
    <w:p w14:paraId="1C6B32B6" w14:textId="77777777" w:rsidR="004004CE" w:rsidRPr="004004CE" w:rsidRDefault="004004CE" w:rsidP="004004CE">
      <w:r w:rsidRPr="004004CE">
        <w:rPr>
          <w:b/>
          <w:bCs/>
        </w:rPr>
        <w:t>Data Sources</w:t>
      </w:r>
    </w:p>
    <w:p w14:paraId="57853114" w14:textId="77777777" w:rsidR="004004CE" w:rsidRPr="004004CE" w:rsidRDefault="004004CE" w:rsidP="004004CE">
      <w:pPr>
        <w:numPr>
          <w:ilvl w:val="0"/>
          <w:numId w:val="30"/>
        </w:numPr>
      </w:pPr>
      <w:r w:rsidRPr="004004CE">
        <w:t>Balance Sheet, Income Statement, and Cash Flow Statement (2020–2024).</w:t>
      </w:r>
    </w:p>
    <w:p w14:paraId="2BB8B89D" w14:textId="77777777" w:rsidR="004004CE" w:rsidRPr="004004CE" w:rsidRDefault="004004CE" w:rsidP="004004CE">
      <w:r w:rsidRPr="004004CE">
        <w:rPr>
          <w:b/>
          <w:bCs/>
        </w:rPr>
        <w:t>Data Preparation</w:t>
      </w:r>
    </w:p>
    <w:p w14:paraId="688F2B89" w14:textId="77777777" w:rsidR="004004CE" w:rsidRPr="004004CE" w:rsidRDefault="004004CE" w:rsidP="004004CE">
      <w:pPr>
        <w:numPr>
          <w:ilvl w:val="0"/>
          <w:numId w:val="31"/>
        </w:numPr>
      </w:pPr>
      <w:r w:rsidRPr="004004CE">
        <w:t>Standardized column names.</w:t>
      </w:r>
    </w:p>
    <w:p w14:paraId="57861211" w14:textId="77777777" w:rsidR="004004CE" w:rsidRPr="004004CE" w:rsidRDefault="004004CE" w:rsidP="004004CE">
      <w:pPr>
        <w:numPr>
          <w:ilvl w:val="0"/>
          <w:numId w:val="31"/>
        </w:numPr>
      </w:pPr>
      <w:r w:rsidRPr="004004CE">
        <w:t>Removed nulls and normalized dates.</w:t>
      </w:r>
    </w:p>
    <w:p w14:paraId="4D6FF436" w14:textId="77777777" w:rsidR="004004CE" w:rsidRPr="004004CE" w:rsidRDefault="004004CE" w:rsidP="004004CE">
      <w:pPr>
        <w:numPr>
          <w:ilvl w:val="0"/>
          <w:numId w:val="31"/>
        </w:numPr>
      </w:pPr>
      <w:r w:rsidRPr="004004CE">
        <w:t>Merged financial statements by fiscal year.</w:t>
      </w:r>
    </w:p>
    <w:p w14:paraId="5AF893E2" w14:textId="77777777" w:rsidR="004004CE" w:rsidRPr="004004CE" w:rsidRDefault="004004CE" w:rsidP="004004CE">
      <w:pPr>
        <w:numPr>
          <w:ilvl w:val="0"/>
          <w:numId w:val="31"/>
        </w:numPr>
      </w:pPr>
      <w:r w:rsidRPr="004004CE">
        <w:t>Added inventory column for deeper efficiency analysis.</w:t>
      </w:r>
    </w:p>
    <w:p w14:paraId="0D4E1DE5" w14:textId="77777777" w:rsidR="004004CE" w:rsidRPr="004004CE" w:rsidRDefault="004004CE" w:rsidP="004004CE">
      <w:r w:rsidRPr="004004CE">
        <w:rPr>
          <w:b/>
          <w:bCs/>
        </w:rPr>
        <w:t>Key Metrics Calculated</w:t>
      </w:r>
    </w:p>
    <w:p w14:paraId="08DD9709" w14:textId="77777777" w:rsidR="004004CE" w:rsidRPr="004004CE" w:rsidRDefault="004004CE" w:rsidP="004004CE">
      <w:pPr>
        <w:numPr>
          <w:ilvl w:val="0"/>
          <w:numId w:val="32"/>
        </w:numPr>
      </w:pPr>
      <w:r w:rsidRPr="004004CE">
        <w:rPr>
          <w:b/>
          <w:bCs/>
        </w:rPr>
        <w:t>Profitability</w:t>
      </w:r>
      <w:r w:rsidRPr="004004CE">
        <w:t>: Gross Margin, Operating Margin, Net Margin, ROA, ROE.</w:t>
      </w:r>
    </w:p>
    <w:p w14:paraId="37F7FAA1" w14:textId="77777777" w:rsidR="004004CE" w:rsidRPr="004004CE" w:rsidRDefault="004004CE" w:rsidP="004004CE">
      <w:pPr>
        <w:numPr>
          <w:ilvl w:val="0"/>
          <w:numId w:val="32"/>
        </w:numPr>
      </w:pPr>
      <w:r w:rsidRPr="004004CE">
        <w:rPr>
          <w:b/>
          <w:bCs/>
        </w:rPr>
        <w:t>Liquidity</w:t>
      </w:r>
      <w:r w:rsidRPr="004004CE">
        <w:t>: Current Ratio, Quick Ratio.</w:t>
      </w:r>
    </w:p>
    <w:p w14:paraId="3F56BB78" w14:textId="77777777" w:rsidR="004004CE" w:rsidRPr="004004CE" w:rsidRDefault="004004CE" w:rsidP="004004CE">
      <w:pPr>
        <w:numPr>
          <w:ilvl w:val="0"/>
          <w:numId w:val="32"/>
        </w:numPr>
      </w:pPr>
      <w:r w:rsidRPr="004004CE">
        <w:rPr>
          <w:b/>
          <w:bCs/>
        </w:rPr>
        <w:t>Solvency</w:t>
      </w:r>
      <w:r w:rsidRPr="004004CE">
        <w:t>: Debt-to-Equity, Debt Ratio, Leverage, Interest Coverage.</w:t>
      </w:r>
    </w:p>
    <w:p w14:paraId="7D62C148" w14:textId="77777777" w:rsidR="004004CE" w:rsidRPr="004004CE" w:rsidRDefault="004004CE" w:rsidP="004004CE">
      <w:pPr>
        <w:numPr>
          <w:ilvl w:val="0"/>
          <w:numId w:val="32"/>
        </w:numPr>
      </w:pPr>
      <w:r w:rsidRPr="004004CE">
        <w:rPr>
          <w:b/>
          <w:bCs/>
        </w:rPr>
        <w:t>Efficiency</w:t>
      </w:r>
      <w:r w:rsidRPr="004004CE">
        <w:t>: Inventory Turnover, Days Sales Outstanding.</w:t>
      </w:r>
    </w:p>
    <w:p w14:paraId="509DED6D" w14:textId="77777777" w:rsidR="004004CE" w:rsidRPr="004004CE" w:rsidRDefault="004004CE" w:rsidP="004004CE">
      <w:pPr>
        <w:numPr>
          <w:ilvl w:val="0"/>
          <w:numId w:val="32"/>
        </w:numPr>
      </w:pPr>
      <w:r w:rsidRPr="004004CE">
        <w:rPr>
          <w:b/>
          <w:bCs/>
        </w:rPr>
        <w:t>Cash Flow</w:t>
      </w:r>
      <w:r w:rsidRPr="004004CE">
        <w:t>: Free Cash Flow, Operating Cash Flow to Net Income.</w:t>
      </w:r>
    </w:p>
    <w:p w14:paraId="55AA5B9E" w14:textId="77777777" w:rsidR="004004CE" w:rsidRPr="004004CE" w:rsidRDefault="004004CE" w:rsidP="004004CE">
      <w:r w:rsidRPr="004004CE">
        <w:pict w14:anchorId="73886F63">
          <v:rect id="_x0000_i1084" style="width:0;height:1.5pt" o:hralign="center" o:hrstd="t" o:hr="t" fillcolor="#a0a0a0" stroked="f"/>
        </w:pict>
      </w:r>
    </w:p>
    <w:p w14:paraId="0389A142" w14:textId="77777777" w:rsidR="004004CE" w:rsidRPr="004004CE" w:rsidRDefault="004004CE" w:rsidP="004004CE">
      <w:pPr>
        <w:rPr>
          <w:b/>
          <w:bCs/>
        </w:rPr>
      </w:pPr>
      <w:r w:rsidRPr="004004CE">
        <w:rPr>
          <w:b/>
          <w:bCs/>
        </w:rPr>
        <w:lastRenderedPageBreak/>
        <w:t>Analysis &amp; Insights</w:t>
      </w:r>
    </w:p>
    <w:p w14:paraId="51FC00D2" w14:textId="77777777" w:rsidR="004004CE" w:rsidRPr="004004CE" w:rsidRDefault="004004CE" w:rsidP="004004CE">
      <w:r w:rsidRPr="004004CE">
        <w:rPr>
          <w:b/>
          <w:bCs/>
        </w:rPr>
        <w:t>Profitability</w:t>
      </w:r>
    </w:p>
    <w:p w14:paraId="4BB859B2" w14:textId="77777777" w:rsidR="004004CE" w:rsidRPr="004004CE" w:rsidRDefault="004004CE" w:rsidP="004004CE">
      <w:pPr>
        <w:numPr>
          <w:ilvl w:val="0"/>
          <w:numId w:val="33"/>
        </w:numPr>
      </w:pPr>
      <w:r w:rsidRPr="004004CE">
        <w:t>Net margin consistently negative (worst: -88% in 2022; latest: -49% in 2024).</w:t>
      </w:r>
    </w:p>
    <w:p w14:paraId="7A55E098" w14:textId="77777777" w:rsidR="004004CE" w:rsidRPr="004004CE" w:rsidRDefault="004004CE" w:rsidP="004004CE">
      <w:pPr>
        <w:numPr>
          <w:ilvl w:val="0"/>
          <w:numId w:val="33"/>
        </w:numPr>
      </w:pPr>
      <w:r w:rsidRPr="004004CE">
        <w:t>Gross margin fell to -24% in 2023 but recovered to 13% in 2024.</w:t>
      </w:r>
    </w:p>
    <w:p w14:paraId="4B962CBE" w14:textId="77777777" w:rsidR="004004CE" w:rsidRPr="004004CE" w:rsidRDefault="004004CE" w:rsidP="004004CE">
      <w:pPr>
        <w:numPr>
          <w:ilvl w:val="0"/>
          <w:numId w:val="33"/>
        </w:numPr>
      </w:pPr>
      <w:r w:rsidRPr="004004CE">
        <w:t>Operating margin closely mirrored net margin → losses are structural, not financing-driven.</w:t>
      </w:r>
    </w:p>
    <w:p w14:paraId="5B3F42DF" w14:textId="77777777" w:rsidR="004004CE" w:rsidRPr="004004CE" w:rsidRDefault="004004CE" w:rsidP="004004CE">
      <w:r w:rsidRPr="004004CE">
        <w:rPr>
          <w:b/>
          <w:bCs/>
        </w:rPr>
        <w:t>Liquidity</w:t>
      </w:r>
    </w:p>
    <w:p w14:paraId="24F55AA7" w14:textId="77777777" w:rsidR="004004CE" w:rsidRPr="004004CE" w:rsidRDefault="004004CE" w:rsidP="004004CE">
      <w:pPr>
        <w:numPr>
          <w:ilvl w:val="0"/>
          <w:numId w:val="34"/>
        </w:numPr>
      </w:pPr>
      <w:r w:rsidRPr="004004CE">
        <w:t>Current ratio declined from 11.17 (2021) to 4.66 (2024).</w:t>
      </w:r>
    </w:p>
    <w:p w14:paraId="73A372E2" w14:textId="77777777" w:rsidR="004004CE" w:rsidRPr="004004CE" w:rsidRDefault="004004CE" w:rsidP="004004CE">
      <w:pPr>
        <w:numPr>
          <w:ilvl w:val="0"/>
          <w:numId w:val="34"/>
        </w:numPr>
      </w:pPr>
      <w:r w:rsidRPr="004004CE">
        <w:t>Quick ratio fell from 8.60 (2021) to 2.82 (2024).</w:t>
      </w:r>
    </w:p>
    <w:p w14:paraId="607B4D79" w14:textId="77777777" w:rsidR="004004CE" w:rsidRPr="004004CE" w:rsidRDefault="004004CE" w:rsidP="004004CE">
      <w:pPr>
        <w:numPr>
          <w:ilvl w:val="0"/>
          <w:numId w:val="34"/>
        </w:numPr>
      </w:pPr>
      <w:r w:rsidRPr="004004CE">
        <w:t>Levels remain high (&gt;3), suggesting underutilized assets but trending downward.</w:t>
      </w:r>
    </w:p>
    <w:p w14:paraId="75580115" w14:textId="77777777" w:rsidR="004004CE" w:rsidRPr="004004CE" w:rsidRDefault="004004CE" w:rsidP="004004CE">
      <w:r w:rsidRPr="004004CE">
        <w:rPr>
          <w:b/>
          <w:bCs/>
        </w:rPr>
        <w:t>Solvency</w:t>
      </w:r>
    </w:p>
    <w:p w14:paraId="4C2E7292" w14:textId="77777777" w:rsidR="004004CE" w:rsidRPr="004004CE" w:rsidRDefault="004004CE" w:rsidP="004004CE">
      <w:pPr>
        <w:numPr>
          <w:ilvl w:val="0"/>
          <w:numId w:val="35"/>
        </w:numPr>
      </w:pPr>
      <w:r w:rsidRPr="004004CE">
        <w:t>Debt-to-equity turned negative starting in 2022 (latest: -2.03 in 2024).</w:t>
      </w:r>
    </w:p>
    <w:p w14:paraId="2CEE3344" w14:textId="77777777" w:rsidR="004004CE" w:rsidRPr="004004CE" w:rsidRDefault="004004CE" w:rsidP="004004CE">
      <w:pPr>
        <w:numPr>
          <w:ilvl w:val="0"/>
          <w:numId w:val="35"/>
        </w:numPr>
      </w:pPr>
      <w:r w:rsidRPr="004004CE">
        <w:t>Debt-to-asset ratio climbed from 0.84 (2021) to 1.80 (2024).</w:t>
      </w:r>
    </w:p>
    <w:p w14:paraId="49318494" w14:textId="77777777" w:rsidR="004004CE" w:rsidRPr="004004CE" w:rsidRDefault="004004CE" w:rsidP="004004CE">
      <w:pPr>
        <w:numPr>
          <w:ilvl w:val="0"/>
          <w:numId w:val="35"/>
        </w:numPr>
      </w:pPr>
      <w:r w:rsidRPr="004004CE">
        <w:t>Leverage ratio worsened from 10.41 (2021) to -1.13 (2024).</w:t>
      </w:r>
      <w:r w:rsidRPr="004004CE">
        <w:br/>
        <w:t>→ Liabilities now exceed assets; solvency at critical risk.</w:t>
      </w:r>
    </w:p>
    <w:p w14:paraId="0BB8098B" w14:textId="77777777" w:rsidR="004004CE" w:rsidRPr="004004CE" w:rsidRDefault="004004CE" w:rsidP="004004CE">
      <w:r w:rsidRPr="004004CE">
        <w:rPr>
          <w:b/>
          <w:bCs/>
        </w:rPr>
        <w:t>Efficiency</w:t>
      </w:r>
    </w:p>
    <w:p w14:paraId="2E52E2ED" w14:textId="77777777" w:rsidR="004004CE" w:rsidRPr="004004CE" w:rsidRDefault="004004CE" w:rsidP="004004CE">
      <w:pPr>
        <w:numPr>
          <w:ilvl w:val="0"/>
          <w:numId w:val="36"/>
        </w:numPr>
      </w:pPr>
      <w:r w:rsidRPr="004004CE">
        <w:t>DSO stable at ~30–34 days → healthy receivables collection.</w:t>
      </w:r>
    </w:p>
    <w:p w14:paraId="3CD8783D" w14:textId="77777777" w:rsidR="004004CE" w:rsidRPr="004004CE" w:rsidRDefault="004004CE" w:rsidP="004004CE">
      <w:pPr>
        <w:numPr>
          <w:ilvl w:val="0"/>
          <w:numId w:val="36"/>
        </w:numPr>
      </w:pPr>
      <w:r w:rsidRPr="004004CE">
        <w:t>Inventory turnover improved to 2.34 in 2024 but remains well below industry (7–8).</w:t>
      </w:r>
    </w:p>
    <w:p w14:paraId="57898357" w14:textId="77777777" w:rsidR="004004CE" w:rsidRPr="004004CE" w:rsidRDefault="004004CE" w:rsidP="004004CE">
      <w:r w:rsidRPr="004004CE">
        <w:rPr>
          <w:b/>
          <w:bCs/>
        </w:rPr>
        <w:t>Cash Flow</w:t>
      </w:r>
    </w:p>
    <w:p w14:paraId="51808FE0" w14:textId="77777777" w:rsidR="004004CE" w:rsidRPr="004004CE" w:rsidRDefault="004004CE" w:rsidP="004004CE">
      <w:pPr>
        <w:numPr>
          <w:ilvl w:val="0"/>
          <w:numId w:val="37"/>
        </w:numPr>
      </w:pPr>
      <w:r w:rsidRPr="004004CE">
        <w:t>Free cash flow negative throughout.</w:t>
      </w:r>
    </w:p>
    <w:p w14:paraId="4C1C5419" w14:textId="77777777" w:rsidR="004004CE" w:rsidRPr="004004CE" w:rsidRDefault="004004CE" w:rsidP="004004CE">
      <w:pPr>
        <w:numPr>
          <w:ilvl w:val="0"/>
          <w:numId w:val="37"/>
        </w:numPr>
      </w:pPr>
      <w:r w:rsidRPr="004004CE">
        <w:t>Operating CF / Net Income declined from 1.65 (2021) to 0.62 (2024).</w:t>
      </w:r>
    </w:p>
    <w:p w14:paraId="75D3271C" w14:textId="77777777" w:rsidR="004004CE" w:rsidRPr="004004CE" w:rsidRDefault="004004CE" w:rsidP="004004CE">
      <w:pPr>
        <w:numPr>
          <w:ilvl w:val="0"/>
          <w:numId w:val="37"/>
        </w:numPr>
      </w:pPr>
      <w:r w:rsidRPr="004004CE">
        <w:t>Indicates declining earnings quality and sustainability concerns.</w:t>
      </w:r>
    </w:p>
    <w:p w14:paraId="409049D1" w14:textId="77777777" w:rsidR="004004CE" w:rsidRPr="004004CE" w:rsidRDefault="004004CE" w:rsidP="004004CE">
      <w:r w:rsidRPr="004004CE">
        <w:pict w14:anchorId="54261DA1">
          <v:rect id="_x0000_i1085" style="width:0;height:1.5pt" o:hralign="center" o:hrstd="t" o:hr="t" fillcolor="#a0a0a0" stroked="f"/>
        </w:pict>
      </w:r>
    </w:p>
    <w:p w14:paraId="7A6CBF73" w14:textId="77777777" w:rsidR="004004CE" w:rsidRPr="004004CE" w:rsidRDefault="004004CE" w:rsidP="004004CE">
      <w:pPr>
        <w:rPr>
          <w:b/>
          <w:bCs/>
        </w:rPr>
      </w:pPr>
      <w:r w:rsidRPr="004004CE">
        <w:rPr>
          <w:b/>
          <w:bCs/>
        </w:rPr>
        <w:t>Industry Context &amp; Competitive Landscape</w:t>
      </w:r>
    </w:p>
    <w:p w14:paraId="38F98787" w14:textId="77777777" w:rsidR="004004CE" w:rsidRPr="004004CE" w:rsidRDefault="004004CE" w:rsidP="004004CE">
      <w:pPr>
        <w:numPr>
          <w:ilvl w:val="0"/>
          <w:numId w:val="38"/>
        </w:numPr>
      </w:pPr>
      <w:r w:rsidRPr="004004CE">
        <w:t>Plant-based meat industry growth slowed (45% in 2020 → 7% in 2024).</w:t>
      </w:r>
    </w:p>
    <w:p w14:paraId="57D11D7C" w14:textId="77777777" w:rsidR="004004CE" w:rsidRPr="004004CE" w:rsidRDefault="004004CE" w:rsidP="004004CE">
      <w:pPr>
        <w:numPr>
          <w:ilvl w:val="0"/>
          <w:numId w:val="38"/>
        </w:numPr>
      </w:pPr>
      <w:r w:rsidRPr="004004CE">
        <w:t>Sector gross margins average 25–35%; Beyond Meat at 13% in 2024.</w:t>
      </w:r>
    </w:p>
    <w:p w14:paraId="0C64F6EA" w14:textId="77777777" w:rsidR="004004CE" w:rsidRPr="004004CE" w:rsidRDefault="004004CE" w:rsidP="004004CE">
      <w:pPr>
        <w:numPr>
          <w:ilvl w:val="0"/>
          <w:numId w:val="38"/>
        </w:numPr>
      </w:pPr>
      <w:r w:rsidRPr="004004CE">
        <w:t>Competitors:</w:t>
      </w:r>
    </w:p>
    <w:p w14:paraId="186132D2" w14:textId="77777777" w:rsidR="004004CE" w:rsidRPr="004004CE" w:rsidRDefault="004004CE" w:rsidP="004004CE">
      <w:pPr>
        <w:numPr>
          <w:ilvl w:val="1"/>
          <w:numId w:val="38"/>
        </w:numPr>
      </w:pPr>
      <w:r w:rsidRPr="004004CE">
        <w:rPr>
          <w:b/>
          <w:bCs/>
        </w:rPr>
        <w:lastRenderedPageBreak/>
        <w:t>Impossible Foods</w:t>
      </w:r>
      <w:r w:rsidRPr="004004CE">
        <w:t>: +$500M funding in 2023; expanded retail by 25%.</w:t>
      </w:r>
    </w:p>
    <w:p w14:paraId="63E76486" w14:textId="77777777" w:rsidR="004004CE" w:rsidRPr="004004CE" w:rsidRDefault="004004CE" w:rsidP="004004CE">
      <w:pPr>
        <w:numPr>
          <w:ilvl w:val="1"/>
          <w:numId w:val="38"/>
        </w:numPr>
      </w:pPr>
      <w:r w:rsidRPr="004004CE">
        <w:rPr>
          <w:b/>
          <w:bCs/>
        </w:rPr>
        <w:t>Tyson/JBS</w:t>
      </w:r>
      <w:r w:rsidRPr="004004CE">
        <w:t>: Plant-based lines 15–20% cheaper with stronger distribution.</w:t>
      </w:r>
    </w:p>
    <w:p w14:paraId="3F085866" w14:textId="77777777" w:rsidR="004004CE" w:rsidRPr="004004CE" w:rsidRDefault="004004CE" w:rsidP="004004CE">
      <w:pPr>
        <w:numPr>
          <w:ilvl w:val="1"/>
          <w:numId w:val="38"/>
        </w:numPr>
      </w:pPr>
      <w:r w:rsidRPr="004004CE">
        <w:rPr>
          <w:b/>
          <w:bCs/>
        </w:rPr>
        <w:t>Private labels</w:t>
      </w:r>
      <w:r w:rsidRPr="004004CE">
        <w:t>: Captured 8.5% market share (2023–24).</w:t>
      </w:r>
      <w:r w:rsidRPr="004004CE">
        <w:br/>
        <w:t>→ Beyond Meat’s premium pricing and high R&amp;D costs (12% of revenue vs. 4–5% industry) are increasingly unsustainable.</w:t>
      </w:r>
    </w:p>
    <w:p w14:paraId="3E34143A" w14:textId="77777777" w:rsidR="004004CE" w:rsidRPr="004004CE" w:rsidRDefault="004004CE" w:rsidP="004004CE">
      <w:r w:rsidRPr="004004CE">
        <w:pict w14:anchorId="554B7C48">
          <v:rect id="_x0000_i1086" style="width:0;height:1.5pt" o:hralign="center" o:hrstd="t" o:hr="t" fillcolor="#a0a0a0" stroked="f"/>
        </w:pict>
      </w:r>
    </w:p>
    <w:p w14:paraId="6EF8C05F" w14:textId="77777777" w:rsidR="004004CE" w:rsidRPr="004004CE" w:rsidRDefault="004004CE" w:rsidP="004004CE">
      <w:pPr>
        <w:rPr>
          <w:b/>
          <w:bCs/>
        </w:rPr>
      </w:pPr>
      <w:r w:rsidRPr="004004CE">
        <w:rPr>
          <w:b/>
          <w:bCs/>
        </w:rPr>
        <w:t>Conclusion &amp; Recommendations</w:t>
      </w:r>
    </w:p>
    <w:p w14:paraId="57F8EB68" w14:textId="77777777" w:rsidR="004004CE" w:rsidRPr="004004CE" w:rsidRDefault="004004CE" w:rsidP="004004CE">
      <w:r w:rsidRPr="004004CE">
        <w:rPr>
          <w:b/>
          <w:bCs/>
        </w:rPr>
        <w:t>Conclusion</w:t>
      </w:r>
      <w:r w:rsidRPr="004004CE">
        <w:br/>
        <w:t>Beyond Meat’s financial trajectory is unsustainable. Margins remain negative, debt exceeds assets, and cash flow is consistently weak. Without immediate restructuring and operational shifts, the company risks long-term insolvency.</w:t>
      </w:r>
    </w:p>
    <w:p w14:paraId="036BC808" w14:textId="77777777" w:rsidR="004004CE" w:rsidRPr="004004CE" w:rsidRDefault="004004CE" w:rsidP="004004CE">
      <w:r w:rsidRPr="004004CE">
        <w:rPr>
          <w:b/>
          <w:bCs/>
        </w:rPr>
        <w:t>Recommendations</w:t>
      </w:r>
    </w:p>
    <w:p w14:paraId="58E586D0" w14:textId="77777777" w:rsidR="004004CE" w:rsidRPr="004004CE" w:rsidRDefault="004004CE" w:rsidP="004004CE">
      <w:pPr>
        <w:numPr>
          <w:ilvl w:val="0"/>
          <w:numId w:val="39"/>
        </w:numPr>
      </w:pPr>
      <w:r w:rsidRPr="004004CE">
        <w:rPr>
          <w:b/>
          <w:bCs/>
        </w:rPr>
        <w:t>Optimize Cost Structure</w:t>
      </w:r>
      <w:r w:rsidRPr="004004CE">
        <w:t xml:space="preserve"> – Cut SG&amp;A and R&amp;D by 15–20% while preserving core innovation.</w:t>
      </w:r>
    </w:p>
    <w:p w14:paraId="7871C455" w14:textId="77777777" w:rsidR="004004CE" w:rsidRPr="004004CE" w:rsidRDefault="004004CE" w:rsidP="004004CE">
      <w:pPr>
        <w:numPr>
          <w:ilvl w:val="0"/>
          <w:numId w:val="39"/>
        </w:numPr>
      </w:pPr>
      <w:r w:rsidRPr="004004CE">
        <w:rPr>
          <w:b/>
          <w:bCs/>
        </w:rPr>
        <w:t>Stabilize Margins</w:t>
      </w:r>
      <w:r w:rsidRPr="004004CE">
        <w:t xml:space="preserve"> – Reassess pricing, renegotiate supplier contracts, and prioritize cost efficiency.</w:t>
      </w:r>
    </w:p>
    <w:p w14:paraId="3F85EADD" w14:textId="77777777" w:rsidR="004004CE" w:rsidRPr="004004CE" w:rsidRDefault="004004CE" w:rsidP="004004CE">
      <w:pPr>
        <w:numPr>
          <w:ilvl w:val="0"/>
          <w:numId w:val="39"/>
        </w:numPr>
      </w:pPr>
      <w:r w:rsidRPr="004004CE">
        <w:rPr>
          <w:b/>
          <w:bCs/>
        </w:rPr>
        <w:t>Strategic Partnerships</w:t>
      </w:r>
      <w:r w:rsidRPr="004004CE">
        <w:t xml:space="preserve"> – Pursue joint ventures to expand distribution and reduce risk exposure.</w:t>
      </w:r>
    </w:p>
    <w:p w14:paraId="0F8FEF0A" w14:textId="77777777" w:rsidR="004004CE" w:rsidRPr="004004CE" w:rsidRDefault="004004CE" w:rsidP="004004CE">
      <w:pPr>
        <w:numPr>
          <w:ilvl w:val="0"/>
          <w:numId w:val="39"/>
        </w:numPr>
      </w:pPr>
      <w:r w:rsidRPr="004004CE">
        <w:rPr>
          <w:b/>
          <w:bCs/>
        </w:rPr>
        <w:t>Working Capital Management</w:t>
      </w:r>
      <w:r w:rsidRPr="004004CE">
        <w:t xml:space="preserve"> – Improve inventory turnover (&gt;2.34) and accelerate receivables collection.</w:t>
      </w:r>
    </w:p>
    <w:p w14:paraId="1FD20270" w14:textId="77777777" w:rsidR="004004CE" w:rsidRPr="004004CE" w:rsidRDefault="004004CE" w:rsidP="004004CE">
      <w:pPr>
        <w:numPr>
          <w:ilvl w:val="0"/>
          <w:numId w:val="39"/>
        </w:numPr>
      </w:pPr>
      <w:r w:rsidRPr="004004CE">
        <w:rPr>
          <w:b/>
          <w:bCs/>
        </w:rPr>
        <w:t>Debt Restructuring</w:t>
      </w:r>
      <w:r w:rsidRPr="004004CE">
        <w:t xml:space="preserve"> – Address negative equity and rising leverage to restore solvency flexibility.</w:t>
      </w:r>
    </w:p>
    <w:p w14:paraId="56B4582E" w14:textId="77777777" w:rsidR="004004CE" w:rsidRPr="004004CE" w:rsidRDefault="004004CE" w:rsidP="004004CE">
      <w:r w:rsidRPr="004004CE">
        <w:pict w14:anchorId="4BEBCB58">
          <v:rect id="_x0000_i1087" style="width:0;height:1.5pt" o:hralign="center" o:hrstd="t" o:hr="t" fillcolor="#a0a0a0" stroked="f"/>
        </w:pict>
      </w:r>
    </w:p>
    <w:p w14:paraId="5FA7C037" w14:textId="77777777" w:rsidR="004004CE" w:rsidRPr="004004CE" w:rsidRDefault="004004CE" w:rsidP="004004CE">
      <w:pPr>
        <w:rPr>
          <w:b/>
          <w:bCs/>
        </w:rPr>
      </w:pPr>
      <w:r w:rsidRPr="004004CE">
        <w:rPr>
          <w:b/>
          <w:bCs/>
        </w:rPr>
        <w:t>Appendix</w:t>
      </w:r>
    </w:p>
    <w:p w14:paraId="4185E036" w14:textId="77777777" w:rsidR="004004CE" w:rsidRPr="004004CE" w:rsidRDefault="004004CE" w:rsidP="004004CE">
      <w:pPr>
        <w:numPr>
          <w:ilvl w:val="0"/>
          <w:numId w:val="40"/>
        </w:numPr>
      </w:pPr>
      <w:r w:rsidRPr="004004CE">
        <w:t>Raw and cleaned financial statements (CSV).</w:t>
      </w:r>
    </w:p>
    <w:p w14:paraId="47F7567A" w14:textId="77777777" w:rsidR="004004CE" w:rsidRPr="004004CE" w:rsidRDefault="004004CE" w:rsidP="004004CE">
      <w:pPr>
        <w:numPr>
          <w:ilvl w:val="0"/>
          <w:numId w:val="40"/>
        </w:numPr>
      </w:pPr>
      <w:r w:rsidRPr="004004CE">
        <w:t>SQL query samples (cleaning &amp; analysis).</w:t>
      </w:r>
    </w:p>
    <w:p w14:paraId="76BD5E82" w14:textId="77777777" w:rsidR="004004CE" w:rsidRPr="004004CE" w:rsidRDefault="004004CE" w:rsidP="004004CE">
      <w:pPr>
        <w:numPr>
          <w:ilvl w:val="0"/>
          <w:numId w:val="40"/>
        </w:numPr>
      </w:pPr>
      <w:r w:rsidRPr="004004CE">
        <w:t>Python preprocessing scripts.</w:t>
      </w:r>
    </w:p>
    <w:p w14:paraId="59DF9969" w14:textId="77777777" w:rsidR="004004CE" w:rsidRPr="004004CE" w:rsidRDefault="004004CE" w:rsidP="004004CE">
      <w:pPr>
        <w:numPr>
          <w:ilvl w:val="0"/>
          <w:numId w:val="40"/>
        </w:numPr>
      </w:pPr>
      <w:r w:rsidRPr="004004CE">
        <w:t>Power BI dashboard screenshots.</w:t>
      </w:r>
    </w:p>
    <w:p w14:paraId="720D3878" w14:textId="77777777" w:rsidR="004004CE" w:rsidRPr="004004CE" w:rsidRDefault="004004CE" w:rsidP="004004CE">
      <w:pPr>
        <w:numPr>
          <w:ilvl w:val="0"/>
          <w:numId w:val="40"/>
        </w:numPr>
      </w:pPr>
      <w:r w:rsidRPr="004004CE">
        <w:t>Financial ratio definitions.</w:t>
      </w:r>
    </w:p>
    <w:p w14:paraId="0F310D84" w14:textId="431BF3E3" w:rsidR="00BB57C9" w:rsidRPr="004004CE" w:rsidRDefault="00BB57C9" w:rsidP="004004CE"/>
    <w:sectPr w:rsidR="00BB57C9" w:rsidRPr="0040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E1A"/>
    <w:multiLevelType w:val="multilevel"/>
    <w:tmpl w:val="7F8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6FE7"/>
    <w:multiLevelType w:val="multilevel"/>
    <w:tmpl w:val="7F5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619B"/>
    <w:multiLevelType w:val="multilevel"/>
    <w:tmpl w:val="A3A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0F38"/>
    <w:multiLevelType w:val="multilevel"/>
    <w:tmpl w:val="2E8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2547"/>
    <w:multiLevelType w:val="multilevel"/>
    <w:tmpl w:val="898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7222B"/>
    <w:multiLevelType w:val="multilevel"/>
    <w:tmpl w:val="1D8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E3372"/>
    <w:multiLevelType w:val="multilevel"/>
    <w:tmpl w:val="CE4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C365B"/>
    <w:multiLevelType w:val="multilevel"/>
    <w:tmpl w:val="ECEE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30393"/>
    <w:multiLevelType w:val="multilevel"/>
    <w:tmpl w:val="BD1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12ECF"/>
    <w:multiLevelType w:val="multilevel"/>
    <w:tmpl w:val="006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9103C"/>
    <w:multiLevelType w:val="multilevel"/>
    <w:tmpl w:val="E31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23A14"/>
    <w:multiLevelType w:val="multilevel"/>
    <w:tmpl w:val="817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A7A61"/>
    <w:multiLevelType w:val="multilevel"/>
    <w:tmpl w:val="703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0718A"/>
    <w:multiLevelType w:val="multilevel"/>
    <w:tmpl w:val="17B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E0A40"/>
    <w:multiLevelType w:val="multilevel"/>
    <w:tmpl w:val="EF5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90ECB"/>
    <w:multiLevelType w:val="multilevel"/>
    <w:tmpl w:val="50FC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F0AED"/>
    <w:multiLevelType w:val="multilevel"/>
    <w:tmpl w:val="9F8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1214E"/>
    <w:multiLevelType w:val="multilevel"/>
    <w:tmpl w:val="EAF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62246"/>
    <w:multiLevelType w:val="multilevel"/>
    <w:tmpl w:val="3A5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F61C5"/>
    <w:multiLevelType w:val="multilevel"/>
    <w:tmpl w:val="1EE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F3B48"/>
    <w:multiLevelType w:val="multilevel"/>
    <w:tmpl w:val="0A7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63901"/>
    <w:multiLevelType w:val="multilevel"/>
    <w:tmpl w:val="13D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069B0"/>
    <w:multiLevelType w:val="multilevel"/>
    <w:tmpl w:val="C80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337BE"/>
    <w:multiLevelType w:val="hybridMultilevel"/>
    <w:tmpl w:val="8336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7D2A"/>
    <w:multiLevelType w:val="multilevel"/>
    <w:tmpl w:val="3F4A513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B33E06"/>
    <w:multiLevelType w:val="multilevel"/>
    <w:tmpl w:val="340A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366C1"/>
    <w:multiLevelType w:val="multilevel"/>
    <w:tmpl w:val="7A2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61723"/>
    <w:multiLevelType w:val="multilevel"/>
    <w:tmpl w:val="83CE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016B1"/>
    <w:multiLevelType w:val="multilevel"/>
    <w:tmpl w:val="97F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75F62"/>
    <w:multiLevelType w:val="multilevel"/>
    <w:tmpl w:val="0E82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02C4C"/>
    <w:multiLevelType w:val="multilevel"/>
    <w:tmpl w:val="48E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06EC5"/>
    <w:multiLevelType w:val="multilevel"/>
    <w:tmpl w:val="80D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938FB"/>
    <w:multiLevelType w:val="multilevel"/>
    <w:tmpl w:val="872A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703CA"/>
    <w:multiLevelType w:val="multilevel"/>
    <w:tmpl w:val="277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8202E"/>
    <w:multiLevelType w:val="multilevel"/>
    <w:tmpl w:val="663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25D65"/>
    <w:multiLevelType w:val="multilevel"/>
    <w:tmpl w:val="755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F1BFB"/>
    <w:multiLevelType w:val="multilevel"/>
    <w:tmpl w:val="426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45494"/>
    <w:multiLevelType w:val="hybridMultilevel"/>
    <w:tmpl w:val="F138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220D1"/>
    <w:multiLevelType w:val="multilevel"/>
    <w:tmpl w:val="399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70D2E"/>
    <w:multiLevelType w:val="multilevel"/>
    <w:tmpl w:val="8C2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867949">
    <w:abstractNumId w:val="22"/>
  </w:num>
  <w:num w:numId="2" w16cid:durableId="894701937">
    <w:abstractNumId w:val="12"/>
  </w:num>
  <w:num w:numId="3" w16cid:durableId="1750733750">
    <w:abstractNumId w:val="30"/>
  </w:num>
  <w:num w:numId="4" w16cid:durableId="132186397">
    <w:abstractNumId w:val="34"/>
  </w:num>
  <w:num w:numId="5" w16cid:durableId="645861970">
    <w:abstractNumId w:val="31"/>
  </w:num>
  <w:num w:numId="6" w16cid:durableId="29847365">
    <w:abstractNumId w:val="0"/>
  </w:num>
  <w:num w:numId="7" w16cid:durableId="713040721">
    <w:abstractNumId w:val="35"/>
  </w:num>
  <w:num w:numId="8" w16cid:durableId="1319453767">
    <w:abstractNumId w:val="1"/>
  </w:num>
  <w:num w:numId="9" w16cid:durableId="44988521">
    <w:abstractNumId w:val="11"/>
  </w:num>
  <w:num w:numId="10" w16cid:durableId="1804762206">
    <w:abstractNumId w:val="13"/>
  </w:num>
  <w:num w:numId="11" w16cid:durableId="605579885">
    <w:abstractNumId w:val="3"/>
  </w:num>
  <w:num w:numId="12" w16cid:durableId="1060133922">
    <w:abstractNumId w:val="8"/>
  </w:num>
  <w:num w:numId="13" w16cid:durableId="71971853">
    <w:abstractNumId w:val="28"/>
  </w:num>
  <w:num w:numId="14" w16cid:durableId="499779862">
    <w:abstractNumId w:val="5"/>
  </w:num>
  <w:num w:numId="15" w16cid:durableId="1332873236">
    <w:abstractNumId w:val="26"/>
  </w:num>
  <w:num w:numId="16" w16cid:durableId="366176744">
    <w:abstractNumId w:val="6"/>
  </w:num>
  <w:num w:numId="17" w16cid:durableId="344404976">
    <w:abstractNumId w:val="17"/>
  </w:num>
  <w:num w:numId="18" w16cid:durableId="229731631">
    <w:abstractNumId w:val="18"/>
  </w:num>
  <w:num w:numId="19" w16cid:durableId="949119016">
    <w:abstractNumId w:val="38"/>
  </w:num>
  <w:num w:numId="20" w16cid:durableId="1661498289">
    <w:abstractNumId w:val="10"/>
  </w:num>
  <w:num w:numId="21" w16cid:durableId="488056932">
    <w:abstractNumId w:val="23"/>
  </w:num>
  <w:num w:numId="22" w16cid:durableId="312679942">
    <w:abstractNumId w:val="37"/>
  </w:num>
  <w:num w:numId="23" w16cid:durableId="494031493">
    <w:abstractNumId w:val="24"/>
  </w:num>
  <w:num w:numId="24" w16cid:durableId="900674609">
    <w:abstractNumId w:val="25"/>
  </w:num>
  <w:num w:numId="25" w16cid:durableId="917523545">
    <w:abstractNumId w:val="36"/>
  </w:num>
  <w:num w:numId="26" w16cid:durableId="596524754">
    <w:abstractNumId w:val="19"/>
  </w:num>
  <w:num w:numId="27" w16cid:durableId="429080631">
    <w:abstractNumId w:val="39"/>
  </w:num>
  <w:num w:numId="28" w16cid:durableId="2010600153">
    <w:abstractNumId w:val="27"/>
  </w:num>
  <w:num w:numId="29" w16cid:durableId="1141002424">
    <w:abstractNumId w:val="14"/>
  </w:num>
  <w:num w:numId="30" w16cid:durableId="450713986">
    <w:abstractNumId w:val="33"/>
  </w:num>
  <w:num w:numId="31" w16cid:durableId="1880510066">
    <w:abstractNumId w:val="4"/>
  </w:num>
  <w:num w:numId="32" w16cid:durableId="1399792344">
    <w:abstractNumId w:val="16"/>
  </w:num>
  <w:num w:numId="33" w16cid:durableId="1303578827">
    <w:abstractNumId w:val="32"/>
  </w:num>
  <w:num w:numId="34" w16cid:durableId="472142454">
    <w:abstractNumId w:val="2"/>
  </w:num>
  <w:num w:numId="35" w16cid:durableId="235288780">
    <w:abstractNumId w:val="20"/>
  </w:num>
  <w:num w:numId="36" w16cid:durableId="970672463">
    <w:abstractNumId w:val="21"/>
  </w:num>
  <w:num w:numId="37" w16cid:durableId="1115171122">
    <w:abstractNumId w:val="9"/>
  </w:num>
  <w:num w:numId="38" w16cid:durableId="237978573">
    <w:abstractNumId w:val="7"/>
  </w:num>
  <w:num w:numId="39" w16cid:durableId="1403522883">
    <w:abstractNumId w:val="29"/>
  </w:num>
  <w:num w:numId="40" w16cid:durableId="9569081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C9"/>
    <w:rsid w:val="0006125A"/>
    <w:rsid w:val="00105DA4"/>
    <w:rsid w:val="0013360C"/>
    <w:rsid w:val="001F2B9E"/>
    <w:rsid w:val="0029724D"/>
    <w:rsid w:val="0030428A"/>
    <w:rsid w:val="003242C7"/>
    <w:rsid w:val="003E4361"/>
    <w:rsid w:val="004004CE"/>
    <w:rsid w:val="005100C5"/>
    <w:rsid w:val="005719A5"/>
    <w:rsid w:val="005A2D99"/>
    <w:rsid w:val="005C5F0F"/>
    <w:rsid w:val="006A35E5"/>
    <w:rsid w:val="006C3FA9"/>
    <w:rsid w:val="006C76D8"/>
    <w:rsid w:val="00704EE4"/>
    <w:rsid w:val="0080538B"/>
    <w:rsid w:val="0082409F"/>
    <w:rsid w:val="00861374"/>
    <w:rsid w:val="00917822"/>
    <w:rsid w:val="00967EF1"/>
    <w:rsid w:val="009A1CF7"/>
    <w:rsid w:val="00AF653C"/>
    <w:rsid w:val="00BB57C9"/>
    <w:rsid w:val="00C018AD"/>
    <w:rsid w:val="00C331D3"/>
    <w:rsid w:val="00CC172E"/>
    <w:rsid w:val="00CC37D7"/>
    <w:rsid w:val="00CF6B2E"/>
    <w:rsid w:val="00D231C4"/>
    <w:rsid w:val="00E0748D"/>
    <w:rsid w:val="00E72041"/>
    <w:rsid w:val="00F7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7B8A"/>
  <w15:chartTrackingRefBased/>
  <w15:docId w15:val="{3469ADFF-BB19-4D27-AED1-ADF8B171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C9"/>
    <w:rPr>
      <w:rFonts w:eastAsiaTheme="majorEastAsia" w:cstheme="majorBidi"/>
      <w:color w:val="272727" w:themeColor="text1" w:themeTint="D8"/>
    </w:rPr>
  </w:style>
  <w:style w:type="paragraph" w:styleId="Title">
    <w:name w:val="Title"/>
    <w:basedOn w:val="Normal"/>
    <w:next w:val="Normal"/>
    <w:link w:val="TitleChar"/>
    <w:uiPriority w:val="10"/>
    <w:qFormat/>
    <w:rsid w:val="00BB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7C9"/>
    <w:pPr>
      <w:spacing w:before="160"/>
      <w:jc w:val="center"/>
    </w:pPr>
    <w:rPr>
      <w:i/>
      <w:iCs/>
      <w:color w:val="404040" w:themeColor="text1" w:themeTint="BF"/>
    </w:rPr>
  </w:style>
  <w:style w:type="character" w:customStyle="1" w:styleId="QuoteChar">
    <w:name w:val="Quote Char"/>
    <w:basedOn w:val="DefaultParagraphFont"/>
    <w:link w:val="Quote"/>
    <w:uiPriority w:val="29"/>
    <w:rsid w:val="00BB57C9"/>
    <w:rPr>
      <w:i/>
      <w:iCs/>
      <w:color w:val="404040" w:themeColor="text1" w:themeTint="BF"/>
    </w:rPr>
  </w:style>
  <w:style w:type="paragraph" w:styleId="ListParagraph">
    <w:name w:val="List Paragraph"/>
    <w:basedOn w:val="Normal"/>
    <w:uiPriority w:val="34"/>
    <w:qFormat/>
    <w:rsid w:val="00BB57C9"/>
    <w:pPr>
      <w:ind w:left="720"/>
      <w:contextualSpacing/>
    </w:pPr>
  </w:style>
  <w:style w:type="character" w:styleId="IntenseEmphasis">
    <w:name w:val="Intense Emphasis"/>
    <w:basedOn w:val="DefaultParagraphFont"/>
    <w:uiPriority w:val="21"/>
    <w:qFormat/>
    <w:rsid w:val="00BB57C9"/>
    <w:rPr>
      <w:i/>
      <w:iCs/>
      <w:color w:val="0F4761" w:themeColor="accent1" w:themeShade="BF"/>
    </w:rPr>
  </w:style>
  <w:style w:type="paragraph" w:styleId="IntenseQuote">
    <w:name w:val="Intense Quote"/>
    <w:basedOn w:val="Normal"/>
    <w:next w:val="Normal"/>
    <w:link w:val="IntenseQuoteChar"/>
    <w:uiPriority w:val="30"/>
    <w:qFormat/>
    <w:rsid w:val="00BB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C9"/>
    <w:rPr>
      <w:i/>
      <w:iCs/>
      <w:color w:val="0F4761" w:themeColor="accent1" w:themeShade="BF"/>
    </w:rPr>
  </w:style>
  <w:style w:type="character" w:styleId="IntenseReference">
    <w:name w:val="Intense Reference"/>
    <w:basedOn w:val="DefaultParagraphFont"/>
    <w:uiPriority w:val="32"/>
    <w:qFormat/>
    <w:rsid w:val="00BB5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6965">
      <w:bodyDiv w:val="1"/>
      <w:marLeft w:val="0"/>
      <w:marRight w:val="0"/>
      <w:marTop w:val="0"/>
      <w:marBottom w:val="0"/>
      <w:divBdr>
        <w:top w:val="none" w:sz="0" w:space="0" w:color="auto"/>
        <w:left w:val="none" w:sz="0" w:space="0" w:color="auto"/>
        <w:bottom w:val="none" w:sz="0" w:space="0" w:color="auto"/>
        <w:right w:val="none" w:sz="0" w:space="0" w:color="auto"/>
      </w:divBdr>
    </w:div>
    <w:div w:id="249778159">
      <w:bodyDiv w:val="1"/>
      <w:marLeft w:val="0"/>
      <w:marRight w:val="0"/>
      <w:marTop w:val="0"/>
      <w:marBottom w:val="0"/>
      <w:divBdr>
        <w:top w:val="none" w:sz="0" w:space="0" w:color="auto"/>
        <w:left w:val="none" w:sz="0" w:space="0" w:color="auto"/>
        <w:bottom w:val="none" w:sz="0" w:space="0" w:color="auto"/>
        <w:right w:val="none" w:sz="0" w:space="0" w:color="auto"/>
      </w:divBdr>
    </w:div>
    <w:div w:id="371346056">
      <w:bodyDiv w:val="1"/>
      <w:marLeft w:val="0"/>
      <w:marRight w:val="0"/>
      <w:marTop w:val="0"/>
      <w:marBottom w:val="0"/>
      <w:divBdr>
        <w:top w:val="none" w:sz="0" w:space="0" w:color="auto"/>
        <w:left w:val="none" w:sz="0" w:space="0" w:color="auto"/>
        <w:bottom w:val="none" w:sz="0" w:space="0" w:color="auto"/>
        <w:right w:val="none" w:sz="0" w:space="0" w:color="auto"/>
      </w:divBdr>
    </w:div>
    <w:div w:id="495195090">
      <w:bodyDiv w:val="1"/>
      <w:marLeft w:val="0"/>
      <w:marRight w:val="0"/>
      <w:marTop w:val="0"/>
      <w:marBottom w:val="0"/>
      <w:divBdr>
        <w:top w:val="none" w:sz="0" w:space="0" w:color="auto"/>
        <w:left w:val="none" w:sz="0" w:space="0" w:color="auto"/>
        <w:bottom w:val="none" w:sz="0" w:space="0" w:color="auto"/>
        <w:right w:val="none" w:sz="0" w:space="0" w:color="auto"/>
      </w:divBdr>
    </w:div>
    <w:div w:id="896625235">
      <w:bodyDiv w:val="1"/>
      <w:marLeft w:val="0"/>
      <w:marRight w:val="0"/>
      <w:marTop w:val="0"/>
      <w:marBottom w:val="0"/>
      <w:divBdr>
        <w:top w:val="none" w:sz="0" w:space="0" w:color="auto"/>
        <w:left w:val="none" w:sz="0" w:space="0" w:color="auto"/>
        <w:bottom w:val="none" w:sz="0" w:space="0" w:color="auto"/>
        <w:right w:val="none" w:sz="0" w:space="0" w:color="auto"/>
      </w:divBdr>
    </w:div>
    <w:div w:id="938369645">
      <w:bodyDiv w:val="1"/>
      <w:marLeft w:val="0"/>
      <w:marRight w:val="0"/>
      <w:marTop w:val="0"/>
      <w:marBottom w:val="0"/>
      <w:divBdr>
        <w:top w:val="none" w:sz="0" w:space="0" w:color="auto"/>
        <w:left w:val="none" w:sz="0" w:space="0" w:color="auto"/>
        <w:bottom w:val="none" w:sz="0" w:space="0" w:color="auto"/>
        <w:right w:val="none" w:sz="0" w:space="0" w:color="auto"/>
      </w:divBdr>
    </w:div>
    <w:div w:id="978457202">
      <w:bodyDiv w:val="1"/>
      <w:marLeft w:val="0"/>
      <w:marRight w:val="0"/>
      <w:marTop w:val="0"/>
      <w:marBottom w:val="0"/>
      <w:divBdr>
        <w:top w:val="none" w:sz="0" w:space="0" w:color="auto"/>
        <w:left w:val="none" w:sz="0" w:space="0" w:color="auto"/>
        <w:bottom w:val="none" w:sz="0" w:space="0" w:color="auto"/>
        <w:right w:val="none" w:sz="0" w:space="0" w:color="auto"/>
      </w:divBdr>
    </w:div>
    <w:div w:id="1088236684">
      <w:bodyDiv w:val="1"/>
      <w:marLeft w:val="0"/>
      <w:marRight w:val="0"/>
      <w:marTop w:val="0"/>
      <w:marBottom w:val="0"/>
      <w:divBdr>
        <w:top w:val="none" w:sz="0" w:space="0" w:color="auto"/>
        <w:left w:val="none" w:sz="0" w:space="0" w:color="auto"/>
        <w:bottom w:val="none" w:sz="0" w:space="0" w:color="auto"/>
        <w:right w:val="none" w:sz="0" w:space="0" w:color="auto"/>
      </w:divBdr>
    </w:div>
    <w:div w:id="1140146079">
      <w:bodyDiv w:val="1"/>
      <w:marLeft w:val="0"/>
      <w:marRight w:val="0"/>
      <w:marTop w:val="0"/>
      <w:marBottom w:val="0"/>
      <w:divBdr>
        <w:top w:val="none" w:sz="0" w:space="0" w:color="auto"/>
        <w:left w:val="none" w:sz="0" w:space="0" w:color="auto"/>
        <w:bottom w:val="none" w:sz="0" w:space="0" w:color="auto"/>
        <w:right w:val="none" w:sz="0" w:space="0" w:color="auto"/>
      </w:divBdr>
    </w:div>
    <w:div w:id="1408380748">
      <w:bodyDiv w:val="1"/>
      <w:marLeft w:val="0"/>
      <w:marRight w:val="0"/>
      <w:marTop w:val="0"/>
      <w:marBottom w:val="0"/>
      <w:divBdr>
        <w:top w:val="none" w:sz="0" w:space="0" w:color="auto"/>
        <w:left w:val="none" w:sz="0" w:space="0" w:color="auto"/>
        <w:bottom w:val="none" w:sz="0" w:space="0" w:color="auto"/>
        <w:right w:val="none" w:sz="0" w:space="0" w:color="auto"/>
      </w:divBdr>
    </w:div>
    <w:div w:id="1575117224">
      <w:bodyDiv w:val="1"/>
      <w:marLeft w:val="0"/>
      <w:marRight w:val="0"/>
      <w:marTop w:val="0"/>
      <w:marBottom w:val="0"/>
      <w:divBdr>
        <w:top w:val="none" w:sz="0" w:space="0" w:color="auto"/>
        <w:left w:val="none" w:sz="0" w:space="0" w:color="auto"/>
        <w:bottom w:val="none" w:sz="0" w:space="0" w:color="auto"/>
        <w:right w:val="none" w:sz="0" w:space="0" w:color="auto"/>
      </w:divBdr>
    </w:div>
    <w:div w:id="1593203941">
      <w:bodyDiv w:val="1"/>
      <w:marLeft w:val="0"/>
      <w:marRight w:val="0"/>
      <w:marTop w:val="0"/>
      <w:marBottom w:val="0"/>
      <w:divBdr>
        <w:top w:val="none" w:sz="0" w:space="0" w:color="auto"/>
        <w:left w:val="none" w:sz="0" w:space="0" w:color="auto"/>
        <w:bottom w:val="none" w:sz="0" w:space="0" w:color="auto"/>
        <w:right w:val="none" w:sz="0" w:space="0" w:color="auto"/>
      </w:divBdr>
    </w:div>
    <w:div w:id="1872066294">
      <w:bodyDiv w:val="1"/>
      <w:marLeft w:val="0"/>
      <w:marRight w:val="0"/>
      <w:marTop w:val="0"/>
      <w:marBottom w:val="0"/>
      <w:divBdr>
        <w:top w:val="none" w:sz="0" w:space="0" w:color="auto"/>
        <w:left w:val="none" w:sz="0" w:space="0" w:color="auto"/>
        <w:bottom w:val="none" w:sz="0" w:space="0" w:color="auto"/>
        <w:right w:val="none" w:sz="0" w:space="0" w:color="auto"/>
      </w:divBdr>
    </w:div>
    <w:div w:id="1957330696">
      <w:bodyDiv w:val="1"/>
      <w:marLeft w:val="0"/>
      <w:marRight w:val="0"/>
      <w:marTop w:val="0"/>
      <w:marBottom w:val="0"/>
      <w:divBdr>
        <w:top w:val="none" w:sz="0" w:space="0" w:color="auto"/>
        <w:left w:val="none" w:sz="0" w:space="0" w:color="auto"/>
        <w:bottom w:val="none" w:sz="0" w:space="0" w:color="auto"/>
        <w:right w:val="none" w:sz="0" w:space="0" w:color="auto"/>
      </w:divBdr>
    </w:div>
    <w:div w:id="2050300074">
      <w:bodyDiv w:val="1"/>
      <w:marLeft w:val="0"/>
      <w:marRight w:val="0"/>
      <w:marTop w:val="0"/>
      <w:marBottom w:val="0"/>
      <w:divBdr>
        <w:top w:val="none" w:sz="0" w:space="0" w:color="auto"/>
        <w:left w:val="none" w:sz="0" w:space="0" w:color="auto"/>
        <w:bottom w:val="none" w:sz="0" w:space="0" w:color="auto"/>
        <w:right w:val="none" w:sz="0" w:space="0" w:color="auto"/>
      </w:divBdr>
    </w:div>
    <w:div w:id="206421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Dim</dc:creator>
  <cp:keywords/>
  <dc:description/>
  <cp:lastModifiedBy>Stu Dim</cp:lastModifiedBy>
  <cp:revision>7</cp:revision>
  <dcterms:created xsi:type="dcterms:W3CDTF">2025-04-04T00:44:00Z</dcterms:created>
  <dcterms:modified xsi:type="dcterms:W3CDTF">2025-09-18T17:12:00Z</dcterms:modified>
</cp:coreProperties>
</file>