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B4F"/>
          <w:sz w:val="44"/>
          <w:szCs w:val="44"/>
        </w:rPr>
        <w:t xml:space="preserve">Recommended Tech Stack</w:t>
      </w:r>
    </w:p>
    <w:p>
      <w:pPr>
        <w:spacing w:after="40"/>
      </w:pPr>
      <w:r>
        <w:rPr>
          <w:i/>
          <w:iCs/>
          <w:color w:val="555555"/>
          <w:sz w:val="24"/>
          <w:szCs w:val="24"/>
        </w:rPr>
        <w:t xml:space="preserve">Cooperative Gig Services Platform for Household &amp; Community Services</w:t>
      </w:r>
    </w:p>
    <w:p>
      <w:pPr>
        <w:spacing w:after="300"/>
      </w:pPr>
      <w:r>
        <w:rPr>
          <w:color w:val="888888"/>
          <w:sz w:val="20"/>
          <w:szCs w:val="20"/>
        </w:rPr>
        <w:t xml:space="preserve">SIH 2026 · Problem Statement 26089 · Prepared for the hackathon build team</w:t>
      </w:r>
    </w:p>
    <w:p>
      <w:pPr>
        <w:spacing w:after="120"/>
      </w:pPr>
      <w:r>
        <w:rPr>
          <w:sz w:val="21"/>
          <w:szCs w:val="21"/>
        </w:rPr>
        <w:t xml:space="preserve">This document recommends a tech stack optimized for a 36-hour hackathon build that still demos as a credible, production-viable web application. The guiding principle: lean on managed services wherever possible so the team's time goes into the cooperative-specific logic — the fee-split engine, verification workflow, and member-voice governance features — rather than infrastructure plumbing.</w:t>
      </w:r>
    </w:p>
    <w:p>
      <w:pPr>
        <w:pStyle w:val="Heading1"/>
        <w:spacing w:after="150" w:before="300"/>
      </w:pPr>
      <w:r>
        <w:t xml:space="preserve">1. Frontend — All Three Apps (Customer, Provider, Admin)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4300"/>
      </w:tblGrid>
      <w:tr>
        <w:trPr>
          <w:tblHeader/>
        </w:trPr>
        <w:tc>
          <w:tcPr>
            <w:tcW w:type="dxa" w:w="2200"/>
            <w:shd w:fill="2E5B4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400"/>
            <w:shd w:fill="2E5B4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4300"/>
            <w:shd w:fill="2E5B4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200"/>
            <w:shd w:fill="EAF2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Framework</w:t>
            </w:r>
          </w:p>
        </w:tc>
        <w:tc>
          <w:tcPr>
            <w:tcW w:type="dxa" w:w="3400"/>
            <w:shd w:fill="EAF2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Next.js (React) + TypeScript</w:t>
            </w:r>
          </w:p>
        </w:tc>
        <w:tc>
          <w:tcPr>
            <w:tcW w:type="dxa" w:w="4300"/>
            <w:shd w:fill="EAF2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 codebase for all three apps; fast dev cycle; easy to deploy; type safety reduces bugs under time pressure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Styling</w:t>
            </w:r>
          </w:p>
        </w:tc>
        <w:tc>
          <w:tcPr>
            <w:tcW w:type="dxa" w:w="3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4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Fast to style; produces a clean, polished look without a dedicated designer</w:t>
            </w:r>
          </w:p>
        </w:tc>
      </w:tr>
      <w:tr>
        <w:tc>
          <w:tcPr>
            <w:tcW w:type="dxa" w:w="2200"/>
            <w:shd w:fill="EAF2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 delivery</w:t>
            </w:r>
          </w:p>
        </w:tc>
        <w:tc>
          <w:tcPr>
            <w:tcW w:type="dxa" w:w="3400"/>
            <w:shd w:fill="EAF2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Progressive Web App (next-pwa)</w:t>
            </w:r>
          </w:p>
        </w:tc>
        <w:tc>
          <w:tcPr>
            <w:tcW w:type="dxa" w:w="4300"/>
            <w:shd w:fill="EAF2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Installable on phones, works offline-ish, avoids app-store friction — directly satisfies the "web application" requirement in the problem statement</w:t>
            </w:r>
          </w:p>
        </w:tc>
      </w:tr>
    </w:tbl>
    <w:p>
      <w:pPr>
        <w:pStyle w:val="Heading1"/>
        <w:spacing w:after="150" w:before="300"/>
      </w:pPr>
      <w:r>
        <w:t xml:space="preserve">2. Backend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4300"/>
      </w:tblGrid>
      <w:tr>
        <w:trPr>
          <w:tblHeader/>
        </w:trPr>
        <w:tc>
          <w:tcPr>
            <w:tcW w:type="dxa" w:w="2200"/>
            <w:shd w:fill="2E5B4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400"/>
            <w:shd w:fill="2E5B4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4300"/>
            <w:shd w:fill="2E5B4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200"/>
            <w:shd w:fill="EAF2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framework</w:t>
            </w:r>
          </w:p>
        </w:tc>
        <w:tc>
          <w:tcPr>
            <w:tcW w:type="dxa" w:w="3400"/>
            <w:shd w:fill="EAF2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Node.js + NestJS (or Express)</w:t>
            </w:r>
          </w:p>
        </w:tc>
        <w:tc>
          <w:tcPr>
            <w:tcW w:type="dxa" w:w="4300"/>
            <w:shd w:fill="EAF2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Structured, role-based routing works well for customer / provider / admin roles; NestJS gives you modules/guards out of the box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Backend-as-a-Service</w:t>
            </w:r>
          </w:p>
        </w:tc>
        <w:tc>
          <w:tcPr>
            <w:tcW w:type="dxa" w:w="3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Supabase</w:t>
            </w:r>
          </w:p>
        </w:tc>
        <w:tc>
          <w:tcPr>
            <w:tcW w:type="dxa" w:w="4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Bundles Postgres + PostGIS, built-in OTP auth, file storage (for KYC docs), and realtime subscriptions (live booking status) — can save 6–8 hours versus building auth/DB/storage from scratch</w:t>
            </w:r>
          </w:p>
        </w:tc>
      </w:tr>
    </w:tbl>
    <w:p>
      <w:pPr>
        <w:pStyle w:val="Heading1"/>
        <w:spacing w:after="150" w:before="300"/>
      </w:pPr>
      <w:r>
        <w:t xml:space="preserve">3. Database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4300"/>
      </w:tblGrid>
      <w:tr>
        <w:trPr>
          <w:tblHeader/>
        </w:trPr>
        <w:tc>
          <w:tcPr>
            <w:tcW w:type="dxa" w:w="2200"/>
            <w:shd w:fill="2E5B4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400"/>
            <w:shd w:fill="2E5B4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4300"/>
            <w:shd w:fill="2E5B4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200"/>
            <w:shd w:fill="EAF2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Primary DB</w:t>
            </w:r>
          </w:p>
        </w:tc>
        <w:tc>
          <w:tcPr>
            <w:tcW w:type="dxa" w:w="3400"/>
            <w:shd w:fill="EAF2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PostgreSQL + PostGIS extension</w:t>
            </w:r>
          </w:p>
        </w:tc>
        <w:tc>
          <w:tcPr>
            <w:tcW w:type="dxa" w:w="4300"/>
            <w:shd w:fill="EAF2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Geospatial queries needed for "nearest available provider" matching; also handles ledger/transaction data cleanly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Cache / queue</w:t>
            </w:r>
          </w:p>
        </w:tc>
        <w:tc>
          <w:tcPr>
            <w:tcW w:type="dxa" w:w="3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Redis (optional)</w:t>
            </w:r>
          </w:p>
        </w:tc>
        <w:tc>
          <w:tcPr>
            <w:tcW w:type="dxa" w:w="4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Useful for booking-queue and session cache; skip for MVP if time is tight — not a blocker for the demo</w:t>
            </w:r>
          </w:p>
        </w:tc>
      </w:tr>
    </w:tbl>
    <w:p>
      <w:pPr>
        <w:pStyle w:val="Heading1"/>
        <w:spacing w:after="150" w:before="300"/>
      </w:pPr>
      <w:r>
        <w:t xml:space="preserve">4. Payments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4300"/>
      </w:tblGrid>
      <w:tr>
        <w:trPr>
          <w:tblHeader/>
        </w:trPr>
        <w:tc>
          <w:tcPr>
            <w:tcW w:type="dxa" w:w="2200"/>
            <w:shd w:fill="2E5B4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400"/>
            <w:shd w:fill="2E5B4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4300"/>
            <w:shd w:fill="2E5B4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200"/>
            <w:shd w:fill="EAF2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Payments</w:t>
            </w:r>
          </w:p>
        </w:tc>
        <w:tc>
          <w:tcPr>
            <w:tcW w:type="dxa" w:w="3400"/>
            <w:shd w:fill="EAF2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Razorpay (sandbox/test mode)</w:t>
            </w:r>
          </w:p>
        </w:tc>
        <w:tc>
          <w:tcPr>
            <w:tcW w:type="dxa" w:w="4300"/>
            <w:shd w:fill="EAF2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Strong Indian UPI support; easiest path to demoing the transparent fee-split model live to judges</w:t>
            </w:r>
          </w:p>
        </w:tc>
      </w:tr>
    </w:tbl>
    <w:p>
      <w:pPr>
        <w:pStyle w:val="Heading1"/>
        <w:spacing w:after="150" w:before="300"/>
      </w:pPr>
      <w:r>
        <w:t xml:space="preserve">5. Notifications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4300"/>
      </w:tblGrid>
      <w:tr>
        <w:trPr>
          <w:tblHeader/>
        </w:trPr>
        <w:tc>
          <w:tcPr>
            <w:tcW w:type="dxa" w:w="2200"/>
            <w:shd w:fill="2E5B4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400"/>
            <w:shd w:fill="2E5B4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4300"/>
            <w:shd w:fill="2E5B4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200"/>
            <w:shd w:fill="EAF2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SMS / OTP</w:t>
            </w:r>
          </w:p>
        </w:tc>
        <w:tc>
          <w:tcPr>
            <w:tcW w:type="dxa" w:w="3400"/>
            <w:shd w:fill="EAF2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MSG91 or Twilio</w:t>
            </w:r>
          </w:p>
        </w:tc>
        <w:tc>
          <w:tcPr>
            <w:tcW w:type="dxa" w:w="4300"/>
            <w:shd w:fill="EAF2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Reliable OTP delivery for login and booking confirmations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3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Firebase Cloud Messaging</w:t>
            </w:r>
          </w:p>
        </w:tc>
        <w:tc>
          <w:tcPr>
            <w:tcW w:type="dxa" w:w="4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Works with the PWA setup for real-time booking-status alerts</w:t>
            </w:r>
          </w:p>
        </w:tc>
      </w:tr>
    </w:tbl>
    <w:p>
      <w:pPr>
        <w:pStyle w:val="Heading1"/>
        <w:spacing w:after="150" w:before="300"/>
      </w:pPr>
      <w:r>
        <w:t xml:space="preserve">6. Maps &amp; Location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4300"/>
      </w:tblGrid>
      <w:tr>
        <w:trPr>
          <w:tblHeader/>
        </w:trPr>
        <w:tc>
          <w:tcPr>
            <w:tcW w:type="dxa" w:w="2200"/>
            <w:shd w:fill="2E5B4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400"/>
            <w:shd w:fill="2E5B4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4300"/>
            <w:shd w:fill="2E5B4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200"/>
            <w:shd w:fill="EAF2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Maps / geolocation</w:t>
            </w:r>
          </w:p>
        </w:tc>
        <w:tc>
          <w:tcPr>
            <w:tcW w:type="dxa" w:w="3400"/>
            <w:shd w:fill="EAF2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Leaflet + OpenStreetMap</w:t>
            </w:r>
          </w:p>
        </w:tc>
        <w:tc>
          <w:tcPr>
            <w:tcW w:type="dxa" w:w="4300"/>
            <w:shd w:fill="EAF2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Free, no API-key hassle, good enough for a live-tracking / provider-discovery demo (skip Google Maps billing setup during the hackathon)</w:t>
            </w:r>
          </w:p>
        </w:tc>
      </w:tr>
    </w:tbl>
    <w:p>
      <w:pPr>
        <w:pStyle w:val="Heading1"/>
        <w:spacing w:after="150" w:before="300"/>
      </w:pPr>
      <w:r>
        <w:t xml:space="preserve">7. Hosting &amp; Deployment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4300"/>
      </w:tblGrid>
      <w:tr>
        <w:trPr>
          <w:tblHeader/>
        </w:trPr>
        <w:tc>
          <w:tcPr>
            <w:tcW w:type="dxa" w:w="2200"/>
            <w:shd w:fill="2E5B4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400"/>
            <w:shd w:fill="2E5B4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4300"/>
            <w:shd w:fill="2E5B4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200"/>
            <w:shd w:fill="EAF2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 hosting</w:t>
            </w:r>
          </w:p>
        </w:tc>
        <w:tc>
          <w:tcPr>
            <w:tcW w:type="dxa" w:w="3400"/>
            <w:shd w:fill="EAF2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Vercel</w:t>
            </w:r>
          </w:p>
        </w:tc>
        <w:tc>
          <w:tcPr>
            <w:tcW w:type="dxa" w:w="4300"/>
            <w:shd w:fill="EAF2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Instant deploys, generous free tier, first-class Next.js support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 hosting</w:t>
            </w:r>
          </w:p>
        </w:tc>
        <w:tc>
          <w:tcPr>
            <w:tcW w:type="dxa" w:w="3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Railway or Render</w:t>
            </w:r>
          </w:p>
        </w:tc>
        <w:tc>
          <w:tcPr>
            <w:tcW w:type="dxa" w:w="4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Fast Docker/Node deploys with minimal config, free tier available</w:t>
            </w:r>
          </w:p>
        </w:tc>
      </w:tr>
      <w:tr>
        <w:tc>
          <w:tcPr>
            <w:tcW w:type="dxa" w:w="2200"/>
            <w:shd w:fill="EAF2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DB / Auth / Storage</w:t>
            </w:r>
          </w:p>
        </w:tc>
        <w:tc>
          <w:tcPr>
            <w:tcW w:type="dxa" w:w="3400"/>
            <w:shd w:fill="EAF2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Supabase (hosted)</w:t>
            </w:r>
          </w:p>
        </w:tc>
        <w:tc>
          <w:tcPr>
            <w:tcW w:type="dxa" w:w="4300"/>
            <w:shd w:fill="EAF2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infrastructure setup required — skips server provisioning entirely</w:t>
            </w:r>
          </w:p>
        </w:tc>
      </w:tr>
    </w:tbl>
    <w:p>
      <w:pPr>
        <w:pStyle w:val="Heading1"/>
        <w:spacing w:after="150" w:before="300"/>
      </w:pPr>
      <w:r>
        <w:t xml:space="preserve">Why This Combination</w:t>
      </w:r>
    </w:p>
    <w:p>
      <w:pPr>
        <w:spacing w:after="120"/>
      </w:pPr>
      <w:r>
        <w:rPr>
          <w:sz w:val="21"/>
          <w:szCs w:val="21"/>
        </w:rPr>
        <w:t xml:space="preserve">This stack is almost entirely managed services — Supabase, Vercel, and Razorpay sandbox — which means the team spends its hackathon hours on the parts of the product that actually differentiate it: the cooperative fee-split engine, the provider verification workflow, and the member-voice governance feature. It still deploys and demos as a real, working product rather than a static mockup, which matters for the SIH judging criteria on technical feasibility and scalability.</w:t>
      </w:r>
    </w:p>
    <w:p>
      <w:pPr>
        <w:spacing w:before="200"/>
      </w:pP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Next steps worth considering: a database schema sketch and a repo/folder structure so the team can split work in parallel across the customer app, provider app, and admin portal.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pBdr>
        <w:bottom w:val="single" w:color="2E5B4F" w:sz="6" w:space="4"/>
      </w:pBdr>
      <w:spacing w:after="150" w:before="300"/>
    </w:pPr>
    <w:rPr>
      <w:rFonts w:ascii="Calibri" w:cs="Calibri" w:eastAsia="Calibri" w:hAnsi="Calibri"/>
      <w:b/>
      <w:bCs/>
      <w:color w:val="2E5B4F"/>
      <w:sz w:val="30"/>
      <w:szCs w:val="30"/>
    </w:rPr>
  </w:style>
  <w:style w:type="paragraph" w:styleId="Heading2">
    <w:name w:val="Heading 2"/>
    <w:basedOn w:val="Normal"/>
    <w:next w:val="Normal"/>
    <w:pPr>
      <w:spacing w:after="120" w:before="240"/>
    </w:pPr>
    <w:rPr>
      <w:rFonts w:ascii="Calibri" w:cs="Calibri" w:eastAsia="Calibri" w:hAnsi="Calibri"/>
      <w:b/>
      <w:bCs/>
      <w:color w:val="2E5B4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2026-09-06T08:07:31.869Z</dcterms:created>
  <dcterms:modified xsi:type="dcterms:W3CDTF">2026-09-06T08:07:31.882Z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