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E0F86" w14:textId="37B2ED4A" w:rsidR="00ED635F" w:rsidRPr="00ED635F" w:rsidRDefault="00ED635F" w:rsidP="00ED635F">
      <w:pPr>
        <w:jc w:val="center"/>
        <w:rPr>
          <w:b/>
          <w:lang w:val="es-ES"/>
        </w:rPr>
      </w:pPr>
      <w:r w:rsidRPr="00ED635F">
        <w:rPr>
          <w:b/>
          <w:lang w:val="es-ES"/>
        </w:rPr>
        <w:t xml:space="preserve">Análisis de datos en el </w:t>
      </w:r>
      <w:proofErr w:type="spellStart"/>
      <w:r w:rsidRPr="00ED635F">
        <w:rPr>
          <w:b/>
          <w:lang w:val="es-ES"/>
        </w:rPr>
        <w:t>dataset</w:t>
      </w:r>
      <w:proofErr w:type="spellEnd"/>
      <w:r w:rsidRPr="00ED635F">
        <w:rPr>
          <w:b/>
          <w:lang w:val="es-ES"/>
        </w:rPr>
        <w:t xml:space="preserve"> de próstata de cáncer</w:t>
      </w:r>
    </w:p>
    <w:p w14:paraId="190C2708" w14:textId="4D129942" w:rsidR="000D17E0" w:rsidRDefault="000D17E0" w:rsidP="005C3F6E">
      <w:pPr>
        <w:jc w:val="both"/>
        <w:rPr>
          <w:lang w:val="es-ES"/>
        </w:rPr>
      </w:pPr>
      <w:r>
        <w:rPr>
          <w:lang w:val="es-ES"/>
        </w:rPr>
        <w:t>Para substituir los valores perdidos en el conjunto de datos, se utilizó un KNN-</w:t>
      </w:r>
      <w:proofErr w:type="spellStart"/>
      <w:r>
        <w:rPr>
          <w:lang w:val="es-ES"/>
        </w:rPr>
        <w:t>Imputation</w:t>
      </w:r>
      <w:proofErr w:type="spellEnd"/>
      <w:r w:rsidR="00324F40">
        <w:rPr>
          <w:lang w:val="es-ES"/>
        </w:rPr>
        <w:t xml:space="preserve">, con k=10 y los datos </w:t>
      </w:r>
      <w:r w:rsidR="00ED635F">
        <w:rPr>
          <w:lang w:val="es-ES"/>
        </w:rPr>
        <w:t>fueron</w:t>
      </w:r>
      <w:r w:rsidR="00324F40">
        <w:rPr>
          <w:lang w:val="es-ES"/>
        </w:rPr>
        <w:t xml:space="preserve"> escalados antes de calcular los vecinos más cercanos, de esta manera variables con diferentes escalas no t</w:t>
      </w:r>
      <w:r w:rsidR="00ED635F">
        <w:rPr>
          <w:lang w:val="es-ES"/>
        </w:rPr>
        <w:t>uvieron</w:t>
      </w:r>
      <w:r w:rsidR="00324F40">
        <w:rPr>
          <w:lang w:val="es-ES"/>
        </w:rPr>
        <w:t xml:space="preserve"> distintos impactos en el cómputo de distancia.</w:t>
      </w:r>
    </w:p>
    <w:p w14:paraId="7F6EF2FC" w14:textId="77777777" w:rsidR="0083328E" w:rsidRDefault="00CE2952" w:rsidP="005C3F6E">
      <w:pPr>
        <w:jc w:val="both"/>
        <w:rPr>
          <w:lang w:val="es-ES"/>
        </w:rPr>
      </w:pPr>
      <w:r>
        <w:rPr>
          <w:lang w:val="es-ES"/>
        </w:rPr>
        <w:t xml:space="preserve">Para detectar subconjuntos de factores relevantes, es decir aquellos que posibilitan la inducción de modelos predictivos con alta capacidad de generalización, se utilizó el procedimiento descrito en [1], </w:t>
      </w:r>
      <w:r w:rsidR="005C3F6E">
        <w:rPr>
          <w:lang w:val="es-ES"/>
        </w:rPr>
        <w:t xml:space="preserve">donde </w:t>
      </w:r>
      <w:r>
        <w:rPr>
          <w:lang w:val="es-ES"/>
        </w:rPr>
        <w:t xml:space="preserve">primeramente </w:t>
      </w:r>
      <w:r w:rsidR="005C3F6E">
        <w:rPr>
          <w:lang w:val="es-ES"/>
        </w:rPr>
        <w:t xml:space="preserve">se </w:t>
      </w:r>
      <w:r>
        <w:rPr>
          <w:lang w:val="es-ES"/>
        </w:rPr>
        <w:t xml:space="preserve">crea un ranking de </w:t>
      </w:r>
      <w:r w:rsidR="005C3F6E">
        <w:rPr>
          <w:lang w:val="es-ES"/>
        </w:rPr>
        <w:t>factores ordenados de mayor a menor importancia</w:t>
      </w:r>
      <w:r>
        <w:rPr>
          <w:lang w:val="es-ES"/>
        </w:rPr>
        <w:t xml:space="preserve">, </w:t>
      </w:r>
      <w:r w:rsidR="005C3F6E">
        <w:rPr>
          <w:lang w:val="es-ES"/>
        </w:rPr>
        <w:t xml:space="preserve">y luego se realiza una búsqueda heurística sobre dicho ranking para encontrar los mejores subconjuntos de factores. </w:t>
      </w:r>
    </w:p>
    <w:p w14:paraId="00731408" w14:textId="409EFF95" w:rsidR="00CE2952" w:rsidRDefault="005C3F6E" w:rsidP="005C3F6E">
      <w:pPr>
        <w:jc w:val="both"/>
        <w:rPr>
          <w:lang w:val="es-ES"/>
        </w:rPr>
      </w:pPr>
      <w:r>
        <w:rPr>
          <w:lang w:val="es-ES"/>
        </w:rPr>
        <w:t xml:space="preserve">En este trabajo, en todos los casos se utilizó un </w:t>
      </w:r>
      <w:proofErr w:type="spellStart"/>
      <w:r w:rsidR="005D6C2F" w:rsidRPr="005D6C2F">
        <w:rPr>
          <w:i/>
          <w:lang w:val="es-ES"/>
        </w:rPr>
        <w:t>Leave</w:t>
      </w:r>
      <w:proofErr w:type="spellEnd"/>
      <w:r w:rsidR="005D6C2F" w:rsidRPr="005D6C2F">
        <w:rPr>
          <w:i/>
          <w:lang w:val="es-ES"/>
        </w:rPr>
        <w:t xml:space="preserve"> </w:t>
      </w:r>
      <w:proofErr w:type="spellStart"/>
      <w:r w:rsidR="005D6C2F" w:rsidRPr="005D6C2F">
        <w:rPr>
          <w:i/>
          <w:lang w:val="es-ES"/>
        </w:rPr>
        <w:t>One</w:t>
      </w:r>
      <w:proofErr w:type="spellEnd"/>
      <w:r w:rsidR="005D6C2F" w:rsidRPr="005D6C2F">
        <w:rPr>
          <w:i/>
          <w:lang w:val="es-ES"/>
        </w:rPr>
        <w:t xml:space="preserve"> </w:t>
      </w:r>
      <w:proofErr w:type="spellStart"/>
      <w:r w:rsidR="005D6C2F" w:rsidRPr="005D6C2F">
        <w:rPr>
          <w:i/>
          <w:lang w:val="es-ES"/>
        </w:rPr>
        <w:t>Group</w:t>
      </w:r>
      <w:proofErr w:type="spellEnd"/>
      <w:r w:rsidR="005D6C2F" w:rsidRPr="005D6C2F">
        <w:rPr>
          <w:i/>
          <w:lang w:val="es-ES"/>
        </w:rPr>
        <w:t xml:space="preserve"> </w:t>
      </w:r>
      <w:proofErr w:type="spellStart"/>
      <w:r w:rsidR="005D6C2F" w:rsidRPr="005D6C2F">
        <w:rPr>
          <w:i/>
          <w:lang w:val="es-ES"/>
        </w:rPr>
        <w:t>Out</w:t>
      </w:r>
      <w:proofErr w:type="spellEnd"/>
      <w:r w:rsidR="005D6C2F" w:rsidRPr="005D6C2F">
        <w:rPr>
          <w:i/>
          <w:lang w:val="es-ES"/>
        </w:rPr>
        <w:t xml:space="preserve"> </w:t>
      </w:r>
      <w:proofErr w:type="spellStart"/>
      <w:r w:rsidR="005D6C2F" w:rsidRPr="005D6C2F">
        <w:rPr>
          <w:i/>
          <w:lang w:val="es-ES"/>
        </w:rPr>
        <w:t>cross-validation</w:t>
      </w:r>
      <w:proofErr w:type="spellEnd"/>
      <w:r w:rsidR="005D6C2F">
        <w:rPr>
          <w:lang w:val="es-ES"/>
        </w:rPr>
        <w:t xml:space="preserve">, que utiliza en cada </w:t>
      </w:r>
      <w:proofErr w:type="spellStart"/>
      <w:r w:rsidR="005D6C2F" w:rsidRPr="00376391">
        <w:rPr>
          <w:i/>
          <w:lang w:val="es-ES"/>
        </w:rPr>
        <w:t>fold-execution</w:t>
      </w:r>
      <w:proofErr w:type="spellEnd"/>
      <w:r w:rsidR="005D6C2F">
        <w:rPr>
          <w:lang w:val="es-ES"/>
        </w:rPr>
        <w:t xml:space="preserve"> todos los datos como datos de entrenamiento</w:t>
      </w:r>
      <w:r w:rsidR="006C34F5">
        <w:rPr>
          <w:lang w:val="es-ES"/>
        </w:rPr>
        <w:t>, excepto</w:t>
      </w:r>
      <w:r w:rsidR="005D6C2F">
        <w:rPr>
          <w:lang w:val="es-ES"/>
        </w:rPr>
        <w:t xml:space="preserve"> un par de </w:t>
      </w:r>
      <w:proofErr w:type="spellStart"/>
      <w:r w:rsidR="005D6C2F" w:rsidRPr="0083328E">
        <w:rPr>
          <w:i/>
          <w:lang w:val="es-ES"/>
        </w:rPr>
        <w:t>samples</w:t>
      </w:r>
      <w:proofErr w:type="spellEnd"/>
      <w:r w:rsidR="005D6C2F">
        <w:rPr>
          <w:lang w:val="es-ES"/>
        </w:rPr>
        <w:t xml:space="preserve"> pareados que es </w:t>
      </w:r>
      <w:r w:rsidR="006C34F5">
        <w:rPr>
          <w:lang w:val="es-ES"/>
        </w:rPr>
        <w:t xml:space="preserve">separado y </w:t>
      </w:r>
      <w:r w:rsidR="005D6C2F">
        <w:rPr>
          <w:lang w:val="es-ES"/>
        </w:rPr>
        <w:t xml:space="preserve">utilizado como test. Por lo tanto, siguiendo este procedimiento se </w:t>
      </w:r>
      <w:r w:rsidR="00376391">
        <w:rPr>
          <w:lang w:val="es-ES"/>
        </w:rPr>
        <w:t xml:space="preserve">realizan </w:t>
      </w:r>
      <w:r w:rsidR="005D6C2F">
        <w:rPr>
          <w:lang w:val="es-ES"/>
        </w:rPr>
        <w:t>tantas ejecuciones como pares de muestras pareadas tengamos en el conjunto de datos (83 en nuestro caso), lo cual nos permit</w:t>
      </w:r>
      <w:r w:rsidR="0083328E">
        <w:rPr>
          <w:lang w:val="es-ES"/>
        </w:rPr>
        <w:t>ió</w:t>
      </w:r>
      <w:r w:rsidR="005D6C2F">
        <w:rPr>
          <w:lang w:val="es-ES"/>
        </w:rPr>
        <w:t xml:space="preserve"> obtener el menor sesgo posible en la estimación de la importancia de los factores y en la construcción de los modelos predictivos.</w:t>
      </w:r>
      <w:r w:rsidR="00324F40">
        <w:rPr>
          <w:lang w:val="es-ES"/>
        </w:rPr>
        <w:t xml:space="preserve"> Además, en cada </w:t>
      </w:r>
      <w:proofErr w:type="spellStart"/>
      <w:r w:rsidR="00324F40" w:rsidRPr="00324F40">
        <w:rPr>
          <w:i/>
          <w:lang w:val="es-ES"/>
        </w:rPr>
        <w:t>fold-execution</w:t>
      </w:r>
      <w:proofErr w:type="spellEnd"/>
      <w:r w:rsidR="00324F40">
        <w:rPr>
          <w:lang w:val="es-ES"/>
        </w:rPr>
        <w:t xml:space="preserve"> los datos de entrenamiento son transformados mediante un z-score y un </w:t>
      </w:r>
      <w:proofErr w:type="spellStart"/>
      <w:r w:rsidR="00324F40">
        <w:rPr>
          <w:lang w:val="es-ES"/>
        </w:rPr>
        <w:t>power</w:t>
      </w:r>
      <w:proofErr w:type="spellEnd"/>
      <w:r w:rsidR="00324F40">
        <w:rPr>
          <w:lang w:val="es-ES"/>
        </w:rPr>
        <w:t xml:space="preserve"> </w:t>
      </w:r>
      <w:proofErr w:type="spellStart"/>
      <w:r w:rsidR="00324F40">
        <w:rPr>
          <w:lang w:val="es-ES"/>
        </w:rPr>
        <w:t>transformation</w:t>
      </w:r>
      <w:proofErr w:type="spellEnd"/>
      <w:r w:rsidR="00324F40">
        <w:rPr>
          <w:lang w:val="es-ES"/>
        </w:rPr>
        <w:t xml:space="preserve"> de </w:t>
      </w:r>
      <w:proofErr w:type="spellStart"/>
      <w:r w:rsidR="00324F40" w:rsidRPr="00324F40">
        <w:rPr>
          <w:lang w:val="es-ES"/>
        </w:rPr>
        <w:t>YeoJohnson</w:t>
      </w:r>
      <w:proofErr w:type="spellEnd"/>
      <w:r w:rsidR="0083328E">
        <w:rPr>
          <w:lang w:val="es-ES"/>
        </w:rPr>
        <w:t xml:space="preserve">, y la información obtenida es posteriormente utilizada para transformar los datos </w:t>
      </w:r>
      <w:proofErr w:type="gramStart"/>
      <w:r w:rsidR="0083328E">
        <w:rPr>
          <w:lang w:val="es-ES"/>
        </w:rPr>
        <w:t>de test</w:t>
      </w:r>
      <w:proofErr w:type="gramEnd"/>
      <w:r w:rsidR="0083328E">
        <w:rPr>
          <w:lang w:val="es-ES"/>
        </w:rPr>
        <w:t>.</w:t>
      </w:r>
    </w:p>
    <w:p w14:paraId="69D16545" w14:textId="3C0A63BB" w:rsidR="005D6C2F" w:rsidRDefault="006C34F5" w:rsidP="005C3F6E">
      <w:pPr>
        <w:jc w:val="both"/>
        <w:rPr>
          <w:lang w:val="es-ES"/>
        </w:rPr>
      </w:pPr>
      <w:r>
        <w:rPr>
          <w:lang w:val="es-ES"/>
        </w:rPr>
        <w:t>A partir de la 1er etapa, ob</w:t>
      </w:r>
      <w:r w:rsidR="0083328E">
        <w:rPr>
          <w:lang w:val="es-ES"/>
        </w:rPr>
        <w:t>tuvimos</w:t>
      </w:r>
      <w:r>
        <w:rPr>
          <w:lang w:val="es-ES"/>
        </w:rPr>
        <w:t xml:space="preserve"> el siguiente </w:t>
      </w:r>
      <w:r w:rsidR="008742E3">
        <w:rPr>
          <w:lang w:val="es-ES"/>
        </w:rPr>
        <w:t>ranking de factores. Respecto a los tres factores que se esperaban que salieran como más importantes, el ranking es algo contradictorio…pues los factores SRRM1, SNRNP200 y SRSF3 se posicionan al final del ranking, mostrando una menor importancia para separar las muestras en los dos grupos definidos. Para salir de dudas, el ranking también se calculó con la herramienta SAM (</w:t>
      </w:r>
      <w:proofErr w:type="spellStart"/>
      <w:r w:rsidR="008742E3">
        <w:rPr>
          <w:lang w:val="es-ES"/>
        </w:rPr>
        <w:t>Significant</w:t>
      </w:r>
      <w:proofErr w:type="spellEnd"/>
      <w:r w:rsidR="008742E3">
        <w:rPr>
          <w:lang w:val="es-ES"/>
        </w:rPr>
        <w:t xml:space="preserve"> </w:t>
      </w:r>
      <w:proofErr w:type="spellStart"/>
      <w:r w:rsidR="008742E3">
        <w:rPr>
          <w:lang w:val="es-ES"/>
        </w:rPr>
        <w:t>Analysis</w:t>
      </w:r>
      <w:proofErr w:type="spellEnd"/>
      <w:r w:rsidR="008742E3">
        <w:rPr>
          <w:lang w:val="es-ES"/>
        </w:rPr>
        <w:t xml:space="preserve"> </w:t>
      </w:r>
      <w:proofErr w:type="spellStart"/>
      <w:r w:rsidR="008742E3">
        <w:rPr>
          <w:lang w:val="es-ES"/>
        </w:rPr>
        <w:t>of</w:t>
      </w:r>
      <w:proofErr w:type="spellEnd"/>
      <w:r w:rsidR="008742E3">
        <w:rPr>
          <w:lang w:val="es-ES"/>
        </w:rPr>
        <w:t xml:space="preserve"> </w:t>
      </w:r>
      <w:proofErr w:type="spellStart"/>
      <w:r w:rsidR="008742E3">
        <w:rPr>
          <w:lang w:val="es-ES"/>
        </w:rPr>
        <w:t>MicroArrays</w:t>
      </w:r>
      <w:proofErr w:type="spellEnd"/>
      <w:r w:rsidR="008742E3">
        <w:rPr>
          <w:lang w:val="es-ES"/>
        </w:rPr>
        <w:t xml:space="preserve">), la cual computa la </w:t>
      </w:r>
      <w:r w:rsidR="00B4678C">
        <w:rPr>
          <w:lang w:val="es-ES"/>
        </w:rPr>
        <w:t xml:space="preserve">importancia de los factores haciendo permutaciones aleatorias. En este último ranking, los tres factores </w:t>
      </w:r>
      <w:r w:rsidR="002559AD">
        <w:rPr>
          <w:lang w:val="es-ES"/>
        </w:rPr>
        <w:t>antes citados</w:t>
      </w:r>
      <w:r w:rsidR="00B4678C">
        <w:rPr>
          <w:lang w:val="es-ES"/>
        </w:rPr>
        <w:t xml:space="preserve"> no terminan al final del ranking, pero tampoco son de los primeros.</w:t>
      </w:r>
    </w:p>
    <w:p w14:paraId="3E83CCD1" w14:textId="71B6EB3E" w:rsidR="008742E3" w:rsidRDefault="008742E3" w:rsidP="008742E3">
      <w:pPr>
        <w:jc w:val="center"/>
        <w:rPr>
          <w:lang w:val="es-ES"/>
        </w:rPr>
      </w:pPr>
      <w:r>
        <w:rPr>
          <w:noProof/>
        </w:rPr>
        <w:drawing>
          <wp:inline distT="0" distB="0" distL="0" distR="0" wp14:anchorId="1FB11B41" wp14:editId="749565BD">
            <wp:extent cx="4149606" cy="2256634"/>
            <wp:effectExtent l="0" t="0" r="3810" b="10795"/>
            <wp:docPr id="1" name="Chart 1">
              <a:extLst xmlns:a="http://schemas.openxmlformats.org/drawingml/2006/main">
                <a:ext uri="{FF2B5EF4-FFF2-40B4-BE49-F238E27FC236}">
                  <a16:creationId xmlns:a16="http://schemas.microsoft.com/office/drawing/2014/main" id="{F0F28AEC-AFE4-41A2-99E0-F9E2E3B68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EBDD65" w14:textId="4124101B" w:rsidR="008742E3" w:rsidRDefault="00B4678C" w:rsidP="00B4678C">
      <w:pPr>
        <w:jc w:val="center"/>
        <w:rPr>
          <w:lang w:val="es-ES"/>
        </w:rPr>
      </w:pPr>
      <w:r>
        <w:rPr>
          <w:noProof/>
        </w:rPr>
        <w:lastRenderedPageBreak/>
        <w:drawing>
          <wp:inline distT="0" distB="0" distL="0" distR="0" wp14:anchorId="657CBE5D" wp14:editId="7D9FE9B2">
            <wp:extent cx="4208221" cy="2338754"/>
            <wp:effectExtent l="0" t="0" r="1905" b="4445"/>
            <wp:docPr id="2" name="Chart 2">
              <a:extLst xmlns:a="http://schemas.openxmlformats.org/drawingml/2006/main">
                <a:ext uri="{FF2B5EF4-FFF2-40B4-BE49-F238E27FC236}">
                  <a16:creationId xmlns:a16="http://schemas.microsoft.com/office/drawing/2014/main" id="{1D51D0C9-41C3-4AE7-8236-5C6284C314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0CE583D" w14:textId="1F2271C4" w:rsidR="005D6C2F" w:rsidRDefault="00B4678C" w:rsidP="00B4678C">
      <w:pPr>
        <w:rPr>
          <w:lang w:val="es-ES"/>
        </w:rPr>
      </w:pPr>
      <w:r>
        <w:rPr>
          <w:lang w:val="es-ES"/>
        </w:rPr>
        <w:t>A partir de la 2da etapa de la metodología computacional, que propone realizar una búsqueda heurística sobre el ranking de factores, obtenemos los siguientes resultados.</w:t>
      </w:r>
    </w:p>
    <w:p w14:paraId="7AF56770" w14:textId="2680F4EC" w:rsidR="00B4678C" w:rsidRPr="00E968FB" w:rsidRDefault="00B4678C" w:rsidP="009E3971">
      <w:pPr>
        <w:pStyle w:val="ListParagraph"/>
        <w:numPr>
          <w:ilvl w:val="0"/>
          <w:numId w:val="1"/>
        </w:numPr>
        <w:jc w:val="both"/>
        <w:rPr>
          <w:lang w:val="es-ES"/>
        </w:rPr>
      </w:pPr>
      <w:r w:rsidRPr="00E968FB">
        <w:rPr>
          <w:lang w:val="es-ES"/>
        </w:rPr>
        <w:t xml:space="preserve">Utilizando </w:t>
      </w:r>
      <w:proofErr w:type="spellStart"/>
      <w:r w:rsidRPr="00E968FB">
        <w:rPr>
          <w:lang w:val="es-ES"/>
        </w:rPr>
        <w:t>Logistic</w:t>
      </w:r>
      <w:proofErr w:type="spellEnd"/>
      <w:r w:rsidRPr="00E968FB">
        <w:rPr>
          <w:lang w:val="es-ES"/>
        </w:rPr>
        <w:t xml:space="preserve"> </w:t>
      </w:r>
      <w:proofErr w:type="spellStart"/>
      <w:r w:rsidRPr="00E968FB">
        <w:rPr>
          <w:lang w:val="es-ES"/>
        </w:rPr>
        <w:t>Regression</w:t>
      </w:r>
      <w:proofErr w:type="spellEnd"/>
      <w:r w:rsidRPr="00E968FB">
        <w:rPr>
          <w:lang w:val="es-ES"/>
        </w:rPr>
        <w:t xml:space="preserve"> (LR) se pudieron construir 56 modelos que tenían un AUC mayor de 0.8.</w:t>
      </w:r>
      <w:r w:rsidR="00E968FB" w:rsidRPr="00E968FB">
        <w:rPr>
          <w:lang w:val="es-ES"/>
        </w:rPr>
        <w:t xml:space="preserve"> </w:t>
      </w:r>
      <w:r w:rsidRPr="00E968FB">
        <w:rPr>
          <w:lang w:val="es-ES"/>
        </w:rPr>
        <w:t xml:space="preserve">De los 56 modelos de LR solo en tres aparece el factor </w:t>
      </w:r>
      <w:r w:rsidRPr="00E968FB">
        <w:rPr>
          <w:lang w:val="es-ES"/>
        </w:rPr>
        <w:t>SNRNP200</w:t>
      </w:r>
      <w:r w:rsidR="0035004B" w:rsidRPr="00E968FB">
        <w:rPr>
          <w:lang w:val="es-ES"/>
        </w:rPr>
        <w:t>, SRSF3 aparece en 18 modelos, mientras que SRRM1 aparece en 5.</w:t>
      </w:r>
    </w:p>
    <w:p w14:paraId="4FAD5E43" w14:textId="5A9790D9" w:rsidR="0020636D" w:rsidRPr="00E968FB" w:rsidRDefault="00B4678C" w:rsidP="003A59B9">
      <w:pPr>
        <w:pStyle w:val="ListParagraph"/>
        <w:numPr>
          <w:ilvl w:val="0"/>
          <w:numId w:val="1"/>
        </w:numPr>
        <w:jc w:val="both"/>
        <w:rPr>
          <w:lang w:val="es-ES"/>
        </w:rPr>
      </w:pPr>
      <w:r w:rsidRPr="00E968FB">
        <w:rPr>
          <w:lang w:val="es-ES"/>
        </w:rPr>
        <w:t xml:space="preserve">Utilizando </w:t>
      </w:r>
      <w:proofErr w:type="spellStart"/>
      <w:r w:rsidRPr="00E968FB">
        <w:rPr>
          <w:lang w:val="es-ES"/>
        </w:rPr>
        <w:t>Random</w:t>
      </w:r>
      <w:proofErr w:type="spellEnd"/>
      <w:r w:rsidRPr="00E968FB">
        <w:rPr>
          <w:lang w:val="es-ES"/>
        </w:rPr>
        <w:t xml:space="preserve"> Forest</w:t>
      </w:r>
      <w:r w:rsidR="0035004B" w:rsidRPr="00E968FB">
        <w:rPr>
          <w:lang w:val="es-ES"/>
        </w:rPr>
        <w:t xml:space="preserve"> (RF)</w:t>
      </w:r>
      <w:r w:rsidRPr="00E968FB">
        <w:rPr>
          <w:lang w:val="es-ES"/>
        </w:rPr>
        <w:t xml:space="preserve"> se detectaron 152 modelos que lograban un AUC mayor de 0.8.</w:t>
      </w:r>
      <w:r w:rsidR="00E968FB" w:rsidRPr="00E968FB">
        <w:rPr>
          <w:lang w:val="es-ES"/>
        </w:rPr>
        <w:t xml:space="preserve"> </w:t>
      </w:r>
      <w:r w:rsidR="00E968FB">
        <w:rPr>
          <w:lang w:val="es-ES"/>
        </w:rPr>
        <w:t>D</w:t>
      </w:r>
      <w:r w:rsidR="0035004B" w:rsidRPr="00E968FB">
        <w:rPr>
          <w:lang w:val="es-ES"/>
        </w:rPr>
        <w:t xml:space="preserve">e los 152 modelos de RF, </w:t>
      </w:r>
      <w:r w:rsidR="0035004B" w:rsidRPr="00E968FB">
        <w:rPr>
          <w:lang w:val="es-ES"/>
        </w:rPr>
        <w:t>SNRNP200</w:t>
      </w:r>
      <w:r w:rsidR="0035004B" w:rsidRPr="00E968FB">
        <w:rPr>
          <w:lang w:val="es-ES"/>
        </w:rPr>
        <w:t xml:space="preserve"> solo aparece en 11, </w:t>
      </w:r>
      <w:r w:rsidR="0035004B" w:rsidRPr="00E968FB">
        <w:rPr>
          <w:lang w:val="es-ES"/>
        </w:rPr>
        <w:t>SRRM1</w:t>
      </w:r>
      <w:r w:rsidR="0035004B" w:rsidRPr="00E968FB">
        <w:rPr>
          <w:lang w:val="es-ES"/>
        </w:rPr>
        <w:t xml:space="preserve"> aparece en 9 modelos y SRSF3 en 49 modelos.</w:t>
      </w:r>
    </w:p>
    <w:p w14:paraId="590C6492" w14:textId="206FF221" w:rsidR="005C3F6E" w:rsidRPr="00952059" w:rsidRDefault="0020636D" w:rsidP="002559AD">
      <w:pPr>
        <w:jc w:val="both"/>
        <w:rPr>
          <w:lang w:val="es-ES"/>
        </w:rPr>
      </w:pPr>
      <w:r w:rsidRPr="00952059">
        <w:rPr>
          <w:lang w:val="es-ES"/>
        </w:rPr>
        <w:t>La combinación (</w:t>
      </w:r>
      <w:r w:rsidRPr="00952059">
        <w:rPr>
          <w:b/>
          <w:lang w:val="es-ES"/>
        </w:rPr>
        <w:t>SRSF3</w:t>
      </w:r>
      <w:r w:rsidRPr="00952059">
        <w:rPr>
          <w:b/>
          <w:lang w:val="es-ES"/>
        </w:rPr>
        <w:t xml:space="preserve">, </w:t>
      </w:r>
      <w:r w:rsidRPr="00952059">
        <w:rPr>
          <w:b/>
          <w:lang w:val="es-ES"/>
        </w:rPr>
        <w:t>SNRNP200</w:t>
      </w:r>
      <w:r w:rsidRPr="00952059">
        <w:rPr>
          <w:lang w:val="es-ES"/>
        </w:rPr>
        <w:t xml:space="preserve">, </w:t>
      </w:r>
      <w:r w:rsidRPr="00952059">
        <w:rPr>
          <w:b/>
          <w:lang w:val="es-ES"/>
        </w:rPr>
        <w:t>SRRM1</w:t>
      </w:r>
      <w:r w:rsidRPr="00952059">
        <w:rPr>
          <w:lang w:val="es-ES"/>
        </w:rPr>
        <w:t>) solo apareció 1 vez en todos los modelos construidos</w:t>
      </w:r>
      <w:r w:rsidR="00952059" w:rsidRPr="00952059">
        <w:rPr>
          <w:lang w:val="es-ES"/>
        </w:rPr>
        <w:t>, y esto corresponde a un modelo RF. E</w:t>
      </w:r>
      <w:r w:rsidR="00A00E90">
        <w:rPr>
          <w:lang w:val="es-ES"/>
        </w:rPr>
        <w:t>ste</w:t>
      </w:r>
      <w:r w:rsidR="00952059" w:rsidRPr="00952059">
        <w:rPr>
          <w:lang w:val="es-ES"/>
        </w:rPr>
        <w:t xml:space="preserve"> modelo RF </w:t>
      </w:r>
      <w:r w:rsidR="00952059">
        <w:rPr>
          <w:lang w:val="es-ES"/>
        </w:rPr>
        <w:t>se compone de los siguientes 11 factores</w:t>
      </w:r>
      <w:r w:rsidR="00B2364D">
        <w:rPr>
          <w:lang w:val="es-ES"/>
        </w:rPr>
        <w:t xml:space="preserve"> y tiene las siguientes características:</w:t>
      </w:r>
    </w:p>
    <w:p w14:paraId="6BEF0EAB" w14:textId="2DF259E8" w:rsidR="006C0730" w:rsidRDefault="00A00E90" w:rsidP="006C0730">
      <w:pPr>
        <w:rPr>
          <w:b/>
          <w:lang w:val="es-ES"/>
        </w:rPr>
      </w:pPr>
      <w:r>
        <w:rPr>
          <w:lang w:val="es-ES"/>
        </w:rPr>
        <w:t xml:space="preserve">Factores: </w:t>
      </w:r>
      <w:r w:rsidR="006C0730" w:rsidRPr="005C3F6E">
        <w:rPr>
          <w:lang w:val="es-ES"/>
        </w:rPr>
        <w:t xml:space="preserve">TIA1 SRSF10 U2AF2 SRSF9 SRRM4 SND1 ESRP1 </w:t>
      </w:r>
      <w:r w:rsidR="006C0730" w:rsidRPr="005C3F6E">
        <w:rPr>
          <w:b/>
          <w:lang w:val="es-ES"/>
        </w:rPr>
        <w:t>SRSF3</w:t>
      </w:r>
      <w:r w:rsidR="006C0730" w:rsidRPr="005C3F6E">
        <w:rPr>
          <w:lang w:val="es-ES"/>
        </w:rPr>
        <w:t xml:space="preserve"> KHDRBS1 </w:t>
      </w:r>
      <w:r w:rsidR="006C0730" w:rsidRPr="005C3F6E">
        <w:rPr>
          <w:b/>
          <w:lang w:val="es-ES"/>
        </w:rPr>
        <w:t>SNRNP200</w:t>
      </w:r>
      <w:r w:rsidR="006C0730" w:rsidRPr="005C3F6E">
        <w:rPr>
          <w:lang w:val="es-ES"/>
        </w:rPr>
        <w:t xml:space="preserve"> </w:t>
      </w:r>
      <w:r w:rsidR="006C0730" w:rsidRPr="005C3F6E">
        <w:rPr>
          <w:b/>
          <w:lang w:val="es-ES"/>
        </w:rPr>
        <w:t>SRRM1</w:t>
      </w:r>
    </w:p>
    <w:p w14:paraId="22B7EABB" w14:textId="0A167FB3" w:rsidR="00952059" w:rsidRDefault="002559AD" w:rsidP="006C0730">
      <w:pPr>
        <w:rPr>
          <w:b/>
          <w:lang w:val="es-ES"/>
        </w:rPr>
      </w:pPr>
      <w:r>
        <w:rPr>
          <w:b/>
          <w:lang w:val="es-ES"/>
        </w:rPr>
        <w:t xml:space="preserve">Nota: </w:t>
      </w:r>
      <w:r w:rsidR="00952059">
        <w:rPr>
          <w:b/>
          <w:lang w:val="es-ES"/>
        </w:rPr>
        <w:t>Todos estos factores aparecen como relevantes en la imagen que me envió Juan Manuel.</w:t>
      </w:r>
    </w:p>
    <w:p w14:paraId="6EF05292" w14:textId="58F73F46" w:rsidR="00240148" w:rsidRDefault="00240148" w:rsidP="00952059">
      <w:pPr>
        <w:jc w:val="both"/>
        <w:rPr>
          <w:lang w:val="es-ES"/>
        </w:rPr>
      </w:pPr>
      <w:r>
        <w:rPr>
          <w:lang w:val="es-ES"/>
        </w:rPr>
        <w:t xml:space="preserve">Para analizar la capacidad de memorización sobre los datos de entrenamiento (análisis que comúnmente se hace en los </w:t>
      </w:r>
      <w:proofErr w:type="spellStart"/>
      <w:r>
        <w:rPr>
          <w:lang w:val="es-ES"/>
        </w:rPr>
        <w:t>papers</w:t>
      </w:r>
      <w:proofErr w:type="spellEnd"/>
      <w:r>
        <w:rPr>
          <w:lang w:val="es-ES"/>
        </w:rPr>
        <w:t xml:space="preserve"> de biología), se probó el modelo sobre el mismo conjunto de datos sobre el cual se construyó, dando los siguientes resultados:</w:t>
      </w:r>
    </w:p>
    <w:p w14:paraId="22B2833D" w14:textId="1E526693" w:rsidR="00240148" w:rsidRDefault="00240148" w:rsidP="00952059">
      <w:pPr>
        <w:jc w:val="both"/>
        <w:rPr>
          <w:lang w:val="es-ES"/>
        </w:rPr>
      </w:pPr>
      <w:r>
        <w:rPr>
          <w:lang w:val="es-ES"/>
        </w:rPr>
        <w:t>A</w:t>
      </w:r>
      <w:r w:rsidRPr="00952059">
        <w:rPr>
          <w:lang w:val="es-ES"/>
        </w:rPr>
        <w:t xml:space="preserve">UC= </w:t>
      </w:r>
      <w:r>
        <w:rPr>
          <w:lang w:val="es-ES"/>
        </w:rPr>
        <w:t>1</w:t>
      </w:r>
      <w:r>
        <w:rPr>
          <w:lang w:val="es-ES"/>
        </w:rPr>
        <w:t xml:space="preserve">, </w:t>
      </w:r>
      <w:r w:rsidRPr="00952059">
        <w:rPr>
          <w:lang w:val="es-ES"/>
        </w:rPr>
        <w:t>p-</w:t>
      </w:r>
      <w:proofErr w:type="spellStart"/>
      <w:r w:rsidRPr="00952059">
        <w:rPr>
          <w:lang w:val="es-ES"/>
        </w:rPr>
        <w:t>value</w:t>
      </w:r>
      <w:proofErr w:type="spellEnd"/>
      <w:r w:rsidRPr="00952059">
        <w:rPr>
          <w:lang w:val="es-ES"/>
        </w:rPr>
        <w:t xml:space="preserve">= </w:t>
      </w:r>
      <w:r>
        <w:rPr>
          <w:lang w:val="es-ES"/>
        </w:rPr>
        <w:t>4</w:t>
      </w:r>
      <w:r w:rsidRPr="00952059">
        <w:rPr>
          <w:lang w:val="es-ES"/>
        </w:rPr>
        <w:t>.</w:t>
      </w:r>
      <w:r>
        <w:rPr>
          <w:lang w:val="es-ES"/>
        </w:rPr>
        <w:t>824</w:t>
      </w:r>
      <w:r w:rsidRPr="00952059">
        <w:rPr>
          <w:lang w:val="es-ES"/>
        </w:rPr>
        <w:t>e-</w:t>
      </w:r>
      <w:r>
        <w:rPr>
          <w:lang w:val="es-ES"/>
        </w:rPr>
        <w:t>29</w:t>
      </w:r>
      <w:r>
        <w:rPr>
          <w:lang w:val="es-ES"/>
        </w:rPr>
        <w:t xml:space="preserve">, </w:t>
      </w:r>
      <w:proofErr w:type="spellStart"/>
      <w:r w:rsidRPr="00952059">
        <w:rPr>
          <w:lang w:val="es-ES"/>
        </w:rPr>
        <w:t>Sens</w:t>
      </w:r>
      <w:proofErr w:type="spellEnd"/>
      <w:r w:rsidRPr="00952059">
        <w:rPr>
          <w:lang w:val="es-ES"/>
        </w:rPr>
        <w:t>=</w:t>
      </w:r>
      <w:r>
        <w:rPr>
          <w:lang w:val="es-ES"/>
        </w:rPr>
        <w:t>1</w:t>
      </w:r>
      <w:r>
        <w:rPr>
          <w:lang w:val="es-ES"/>
        </w:rPr>
        <w:t xml:space="preserve"> y </w:t>
      </w:r>
      <w:proofErr w:type="spellStart"/>
      <w:r w:rsidRPr="00952059">
        <w:rPr>
          <w:lang w:val="es-ES"/>
        </w:rPr>
        <w:t>Spec</w:t>
      </w:r>
      <w:proofErr w:type="spellEnd"/>
      <w:r w:rsidRPr="00952059">
        <w:rPr>
          <w:lang w:val="es-ES"/>
        </w:rPr>
        <w:t xml:space="preserve">= </w:t>
      </w:r>
      <w:r>
        <w:rPr>
          <w:lang w:val="es-ES"/>
        </w:rPr>
        <w:t>1</w:t>
      </w:r>
      <w:r>
        <w:rPr>
          <w:lang w:val="es-ES"/>
        </w:rPr>
        <w:t>.</w:t>
      </w:r>
    </w:p>
    <w:p w14:paraId="78175B47" w14:textId="3C801BB1" w:rsidR="00240148" w:rsidRDefault="009A3202" w:rsidP="00952059">
      <w:pPr>
        <w:jc w:val="both"/>
        <w:rPr>
          <w:lang w:val="es-ES"/>
        </w:rPr>
      </w:pPr>
      <w:r>
        <w:rPr>
          <w:lang w:val="es-ES"/>
        </w:rPr>
        <w:t>Por otra parte,</w:t>
      </w:r>
      <w:r w:rsidR="00240148">
        <w:rPr>
          <w:lang w:val="es-ES"/>
        </w:rPr>
        <w:t xml:space="preserve"> para analizar la capacidad de generalización del modelo (análisis que realmente </w:t>
      </w:r>
      <w:r w:rsidR="00A00E90">
        <w:rPr>
          <w:lang w:val="es-ES"/>
        </w:rPr>
        <w:t>muestra</w:t>
      </w:r>
      <w:r w:rsidR="00240148">
        <w:rPr>
          <w:lang w:val="es-ES"/>
        </w:rPr>
        <w:t xml:space="preserve"> qu</w:t>
      </w:r>
      <w:r w:rsidR="00A00E90">
        <w:rPr>
          <w:lang w:val="es-ES"/>
        </w:rPr>
        <w:t>é</w:t>
      </w:r>
      <w:r w:rsidR="00240148">
        <w:rPr>
          <w:lang w:val="es-ES"/>
        </w:rPr>
        <w:t xml:space="preserve"> tan bueno</w:t>
      </w:r>
      <w:r>
        <w:rPr>
          <w:lang w:val="es-ES"/>
        </w:rPr>
        <w:t xml:space="preserve"> es el modelo para predecir muestras que </w:t>
      </w:r>
      <w:r w:rsidR="00B2364D">
        <w:rPr>
          <w:lang w:val="es-ES"/>
        </w:rPr>
        <w:t>nunca</w:t>
      </w:r>
      <w:r>
        <w:rPr>
          <w:lang w:val="es-ES"/>
        </w:rPr>
        <w:t xml:space="preserve"> ha visto</w:t>
      </w:r>
      <w:r w:rsidR="00240148">
        <w:rPr>
          <w:lang w:val="es-ES"/>
        </w:rPr>
        <w:t>)</w:t>
      </w:r>
      <w:r>
        <w:rPr>
          <w:lang w:val="es-ES"/>
        </w:rPr>
        <w:t xml:space="preserve">, los siguientes resultados </w:t>
      </w:r>
      <w:r w:rsidR="00A00E90">
        <w:rPr>
          <w:lang w:val="es-ES"/>
        </w:rPr>
        <w:t xml:space="preserve">se </w:t>
      </w:r>
      <w:r>
        <w:rPr>
          <w:lang w:val="es-ES"/>
        </w:rPr>
        <w:t>obt</w:t>
      </w:r>
      <w:r w:rsidR="00A00E90">
        <w:rPr>
          <w:lang w:val="es-ES"/>
        </w:rPr>
        <w:t>uvieron</w:t>
      </w:r>
      <w:r>
        <w:rPr>
          <w:lang w:val="es-ES"/>
        </w:rPr>
        <w:t xml:space="preserve"> tras ejecutar el proceso de </w:t>
      </w:r>
      <w:proofErr w:type="spellStart"/>
      <w:r w:rsidRPr="00A00E90">
        <w:rPr>
          <w:i/>
          <w:lang w:val="es-ES"/>
        </w:rPr>
        <w:t>cross-validation</w:t>
      </w:r>
      <w:proofErr w:type="spellEnd"/>
      <w:r>
        <w:rPr>
          <w:lang w:val="es-ES"/>
        </w:rPr>
        <w:t xml:space="preserve"> mencionado al comienzo del documento:</w:t>
      </w:r>
    </w:p>
    <w:p w14:paraId="04DFFC09" w14:textId="1D8AD60A" w:rsidR="00302A31" w:rsidRDefault="00952059" w:rsidP="00952059">
      <w:pPr>
        <w:jc w:val="both"/>
        <w:rPr>
          <w:lang w:val="es-ES"/>
        </w:rPr>
      </w:pPr>
      <w:r>
        <w:rPr>
          <w:lang w:val="es-ES"/>
        </w:rPr>
        <w:t>A</w:t>
      </w:r>
      <w:r w:rsidR="00EE7F1B" w:rsidRPr="00952059">
        <w:rPr>
          <w:lang w:val="es-ES"/>
        </w:rPr>
        <w:t>UC= 0.830</w:t>
      </w:r>
      <w:r w:rsidR="00D608FE" w:rsidRPr="00952059">
        <w:rPr>
          <w:lang w:val="es-ES"/>
        </w:rPr>
        <w:t xml:space="preserve"> </w:t>
      </w:r>
      <w:r>
        <w:rPr>
          <w:lang w:val="es-ES"/>
        </w:rPr>
        <w:t>co</w:t>
      </w:r>
      <w:r w:rsidR="00302A31">
        <w:rPr>
          <w:lang w:val="es-ES"/>
        </w:rPr>
        <w:t>n</w:t>
      </w:r>
      <w:r>
        <w:rPr>
          <w:lang w:val="es-ES"/>
        </w:rPr>
        <w:t xml:space="preserve"> un </w:t>
      </w:r>
      <w:r w:rsidR="00D608FE" w:rsidRPr="00952059">
        <w:rPr>
          <w:lang w:val="es-ES"/>
        </w:rPr>
        <w:t>95% CI: 0.7671-0.8932 (</w:t>
      </w:r>
      <w:proofErr w:type="spellStart"/>
      <w:r w:rsidR="00D608FE" w:rsidRPr="00952059">
        <w:rPr>
          <w:lang w:val="es-ES"/>
        </w:rPr>
        <w:t>DeLong</w:t>
      </w:r>
      <w:proofErr w:type="spellEnd"/>
      <w:r w:rsidR="00D608FE" w:rsidRPr="00952059">
        <w:rPr>
          <w:lang w:val="es-ES"/>
        </w:rPr>
        <w:t>)</w:t>
      </w:r>
      <w:r>
        <w:rPr>
          <w:lang w:val="es-ES"/>
        </w:rPr>
        <w:t xml:space="preserve">, </w:t>
      </w:r>
      <w:r w:rsidR="00D608FE" w:rsidRPr="00952059">
        <w:rPr>
          <w:lang w:val="es-ES"/>
        </w:rPr>
        <w:t>p-</w:t>
      </w:r>
      <w:proofErr w:type="spellStart"/>
      <w:r w:rsidR="00D608FE" w:rsidRPr="00952059">
        <w:rPr>
          <w:lang w:val="es-ES"/>
        </w:rPr>
        <w:t>value</w:t>
      </w:r>
      <w:proofErr w:type="spellEnd"/>
      <w:r w:rsidR="00D608FE" w:rsidRPr="00952059">
        <w:rPr>
          <w:lang w:val="es-ES"/>
        </w:rPr>
        <w:t xml:space="preserve">= </w:t>
      </w:r>
      <w:r w:rsidR="00EE7F1B" w:rsidRPr="00952059">
        <w:rPr>
          <w:lang w:val="es-ES"/>
        </w:rPr>
        <w:t>1.03</w:t>
      </w:r>
      <w:r w:rsidR="00D608FE" w:rsidRPr="00952059">
        <w:rPr>
          <w:lang w:val="es-ES"/>
        </w:rPr>
        <w:t>4</w:t>
      </w:r>
      <w:r w:rsidR="00EE7F1B" w:rsidRPr="00952059">
        <w:rPr>
          <w:lang w:val="es-ES"/>
        </w:rPr>
        <w:t>e-13</w:t>
      </w:r>
      <w:r>
        <w:rPr>
          <w:lang w:val="es-ES"/>
        </w:rPr>
        <w:t xml:space="preserve">, </w:t>
      </w:r>
      <w:proofErr w:type="spellStart"/>
      <w:r w:rsidR="006C0730" w:rsidRPr="00952059">
        <w:rPr>
          <w:lang w:val="es-ES"/>
        </w:rPr>
        <w:t>Sens</w:t>
      </w:r>
      <w:proofErr w:type="spellEnd"/>
      <w:r w:rsidR="006C0730" w:rsidRPr="00952059">
        <w:rPr>
          <w:lang w:val="es-ES"/>
        </w:rPr>
        <w:t>= 0.</w:t>
      </w:r>
      <w:r w:rsidR="0019335A" w:rsidRPr="00952059">
        <w:rPr>
          <w:lang w:val="es-ES"/>
        </w:rPr>
        <w:t>831</w:t>
      </w:r>
      <w:r>
        <w:rPr>
          <w:lang w:val="es-ES"/>
        </w:rPr>
        <w:t xml:space="preserve"> y </w:t>
      </w:r>
      <w:proofErr w:type="spellStart"/>
      <w:r w:rsidR="006C0730" w:rsidRPr="00952059">
        <w:rPr>
          <w:lang w:val="es-ES"/>
        </w:rPr>
        <w:t>Spec</w:t>
      </w:r>
      <w:proofErr w:type="spellEnd"/>
      <w:r w:rsidR="006C0730" w:rsidRPr="00952059">
        <w:rPr>
          <w:lang w:val="es-ES"/>
        </w:rPr>
        <w:t>= 0.7</w:t>
      </w:r>
      <w:r w:rsidR="0019335A" w:rsidRPr="00952059">
        <w:rPr>
          <w:lang w:val="es-ES"/>
        </w:rPr>
        <w:t>11</w:t>
      </w:r>
      <w:r>
        <w:rPr>
          <w:lang w:val="es-ES"/>
        </w:rPr>
        <w:t>.</w:t>
      </w:r>
    </w:p>
    <w:p w14:paraId="656E382B" w14:textId="77777777" w:rsidR="009A3202" w:rsidRDefault="009A3202" w:rsidP="00952059">
      <w:pPr>
        <w:jc w:val="both"/>
        <w:rPr>
          <w:lang w:val="es-ES"/>
        </w:rPr>
      </w:pPr>
    </w:p>
    <w:p w14:paraId="3953B04D" w14:textId="624C1609" w:rsidR="00302A31" w:rsidRDefault="00302A31" w:rsidP="00302A31">
      <w:pPr>
        <w:jc w:val="center"/>
        <w:rPr>
          <w:lang w:val="es-ES"/>
        </w:rPr>
      </w:pPr>
      <w:r>
        <w:rPr>
          <w:noProof/>
          <w:lang w:val="es-ES"/>
        </w:rPr>
        <w:lastRenderedPageBreak/>
        <w:drawing>
          <wp:inline distT="0" distB="0" distL="0" distR="0" wp14:anchorId="6FCCFF11" wp14:editId="37DBF06B">
            <wp:extent cx="2740269" cy="2740269"/>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940" cy="2749940"/>
                    </a:xfrm>
                    <a:prstGeom prst="rect">
                      <a:avLst/>
                    </a:prstGeom>
                    <a:noFill/>
                    <a:ln>
                      <a:noFill/>
                    </a:ln>
                  </pic:spPr>
                </pic:pic>
              </a:graphicData>
            </a:graphic>
          </wp:inline>
        </w:drawing>
      </w:r>
    </w:p>
    <w:p w14:paraId="06A1DD6D" w14:textId="44DC0629" w:rsidR="00AC4DEB" w:rsidRDefault="00AC4DEB" w:rsidP="002559AD">
      <w:pPr>
        <w:jc w:val="both"/>
        <w:rPr>
          <w:lang w:val="es-ES"/>
        </w:rPr>
      </w:pPr>
      <w:r>
        <w:rPr>
          <w:lang w:val="es-ES"/>
        </w:rPr>
        <w:t xml:space="preserve">Ahora analicemos que importancia están teniendo </w:t>
      </w:r>
      <w:r w:rsidR="00F92DAE">
        <w:rPr>
          <w:lang w:val="es-ES"/>
        </w:rPr>
        <w:t>realmente</w:t>
      </w:r>
      <w:r w:rsidR="00F92DAE">
        <w:rPr>
          <w:lang w:val="es-ES"/>
        </w:rPr>
        <w:t xml:space="preserve"> </w:t>
      </w:r>
      <w:r>
        <w:rPr>
          <w:lang w:val="es-ES"/>
        </w:rPr>
        <w:t>estos tres factores de interés</w:t>
      </w:r>
      <w:r w:rsidR="00F92DAE">
        <w:rPr>
          <w:lang w:val="es-ES"/>
        </w:rPr>
        <w:t xml:space="preserve"> </w:t>
      </w:r>
      <w:r>
        <w:rPr>
          <w:lang w:val="es-ES"/>
        </w:rPr>
        <w:t>en la predicción del modelo.</w:t>
      </w:r>
    </w:p>
    <w:p w14:paraId="47E52BD6" w14:textId="4FFA38D7" w:rsidR="00F92DAE" w:rsidRDefault="00F92DAE" w:rsidP="002559AD">
      <w:pPr>
        <w:jc w:val="both"/>
        <w:rPr>
          <w:lang w:val="es-ES"/>
        </w:rPr>
      </w:pPr>
    </w:p>
    <w:p w14:paraId="4D635FC1" w14:textId="4864A352" w:rsidR="00F92DAE" w:rsidRDefault="00F92DAE" w:rsidP="002559AD">
      <w:pPr>
        <w:jc w:val="both"/>
        <w:rPr>
          <w:lang w:val="es-ES"/>
        </w:rPr>
      </w:pPr>
      <w:r>
        <w:rPr>
          <w:noProof/>
        </w:rPr>
        <w:drawing>
          <wp:inline distT="0" distB="0" distL="0" distR="0" wp14:anchorId="57DA6471" wp14:editId="54FD487A">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1675"/>
                    </a:xfrm>
                    <a:prstGeom prst="rect">
                      <a:avLst/>
                    </a:prstGeom>
                  </pic:spPr>
                </pic:pic>
              </a:graphicData>
            </a:graphic>
          </wp:inline>
        </w:drawing>
      </w:r>
    </w:p>
    <w:p w14:paraId="5BC281CB" w14:textId="77777777" w:rsidR="00F92DAE" w:rsidRDefault="00F92DAE" w:rsidP="002559AD">
      <w:pPr>
        <w:jc w:val="both"/>
        <w:rPr>
          <w:lang w:val="es-ES"/>
        </w:rPr>
      </w:pPr>
    </w:p>
    <w:p w14:paraId="377C8BA9" w14:textId="23E8263E" w:rsidR="00F92DAE" w:rsidRDefault="00F92DAE" w:rsidP="002559AD">
      <w:pPr>
        <w:jc w:val="both"/>
        <w:rPr>
          <w:lang w:val="es-ES"/>
        </w:rPr>
      </w:pPr>
      <w:r>
        <w:rPr>
          <w:noProof/>
        </w:rPr>
        <w:lastRenderedPageBreak/>
        <w:drawing>
          <wp:inline distT="0" distB="0" distL="0" distR="0" wp14:anchorId="1C0FD405" wp14:editId="2987DF2F">
            <wp:extent cx="5943600" cy="324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1675"/>
                    </a:xfrm>
                    <a:prstGeom prst="rect">
                      <a:avLst/>
                    </a:prstGeom>
                  </pic:spPr>
                </pic:pic>
              </a:graphicData>
            </a:graphic>
          </wp:inline>
        </w:drawing>
      </w:r>
    </w:p>
    <w:p w14:paraId="48F842E6" w14:textId="1EE2D25A" w:rsidR="002559AD" w:rsidRDefault="00F92DAE" w:rsidP="002559AD">
      <w:pPr>
        <w:jc w:val="both"/>
        <w:rPr>
          <w:lang w:val="es-ES"/>
        </w:rPr>
      </w:pPr>
      <w:r>
        <w:rPr>
          <w:lang w:val="es-ES"/>
        </w:rPr>
        <w:t>Las dos figuras nos muestran la importancia que tuvieron cada uno de los 11 factores que componen el modelo RF en la predicción de los pares de muestras (1, 84) y (2,85). Podemos apreciar que los factores</w:t>
      </w:r>
      <w:r w:rsidR="009A2573">
        <w:rPr>
          <w:lang w:val="es-ES"/>
        </w:rPr>
        <w:t xml:space="preserve"> SNRNP200, SRRM1 y SRSF3 contribuyen en menor grado a la predicción, mientras que los factores SRSF9, ESRP1, TIA1, </w:t>
      </w:r>
      <w:proofErr w:type="spellStart"/>
      <w:r w:rsidR="009A2573">
        <w:rPr>
          <w:lang w:val="es-ES"/>
        </w:rPr>
        <w:t>etc</w:t>
      </w:r>
      <w:proofErr w:type="spellEnd"/>
      <w:r w:rsidR="009A2573">
        <w:rPr>
          <w:lang w:val="es-ES"/>
        </w:rPr>
        <w:t>, son los que más importancia tienen.</w:t>
      </w:r>
    </w:p>
    <w:p w14:paraId="52D5B4EA" w14:textId="4D17ABE2" w:rsidR="002559AD" w:rsidRDefault="009A2573" w:rsidP="002559AD">
      <w:pPr>
        <w:jc w:val="both"/>
        <w:rPr>
          <w:lang w:val="es-ES"/>
        </w:rPr>
      </w:pPr>
      <w:r>
        <w:rPr>
          <w:noProof/>
        </w:rPr>
        <w:drawing>
          <wp:inline distT="0" distB="0" distL="0" distR="0" wp14:anchorId="2029D286" wp14:editId="39FFEE77">
            <wp:extent cx="6640400" cy="362171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9855" cy="3632324"/>
                    </a:xfrm>
                    <a:prstGeom prst="rect">
                      <a:avLst/>
                    </a:prstGeom>
                  </pic:spPr>
                </pic:pic>
              </a:graphicData>
            </a:graphic>
          </wp:inline>
        </w:drawing>
      </w:r>
    </w:p>
    <w:p w14:paraId="7EAC7A2B" w14:textId="5B3639AD" w:rsidR="009A2573" w:rsidRDefault="009A2573" w:rsidP="009A2573">
      <w:pPr>
        <w:jc w:val="both"/>
        <w:rPr>
          <w:lang w:val="es-ES"/>
        </w:rPr>
      </w:pPr>
      <w:r>
        <w:rPr>
          <w:lang w:val="es-ES"/>
        </w:rPr>
        <w:lastRenderedPageBreak/>
        <w:t>En la figura</w:t>
      </w:r>
      <w:r w:rsidR="00A00E90">
        <w:rPr>
          <w:lang w:val="es-ES"/>
        </w:rPr>
        <w:t xml:space="preserve"> anterior</w:t>
      </w:r>
      <w:r>
        <w:rPr>
          <w:lang w:val="es-ES"/>
        </w:rPr>
        <w:t xml:space="preserve"> podemos ver</w:t>
      </w:r>
      <w:r>
        <w:rPr>
          <w:lang w:val="es-ES"/>
        </w:rPr>
        <w:t xml:space="preserve"> un resumen de la importancia de cada factor en todas las muestras. Aunque podemos observar que en algunos casos específicos si que </w:t>
      </w:r>
      <w:r w:rsidR="00B70C62">
        <w:rPr>
          <w:lang w:val="es-ES"/>
        </w:rPr>
        <w:t>SRSF3 y SNRN200 tuvieron una importancia mayor, de manera general los factores con más importancia fueron ESPR1 y SRSF9.</w:t>
      </w:r>
    </w:p>
    <w:p w14:paraId="356FD79A" w14:textId="138B4DFD" w:rsidR="00980717" w:rsidRPr="00E95521" w:rsidRDefault="00D74FFB" w:rsidP="009A2573">
      <w:pPr>
        <w:jc w:val="both"/>
        <w:rPr>
          <w:b/>
          <w:lang w:val="es-ES"/>
        </w:rPr>
      </w:pPr>
      <w:r w:rsidRPr="00A00E90">
        <w:rPr>
          <w:b/>
          <w:lang w:val="es-ES"/>
        </w:rPr>
        <w:t xml:space="preserve">Dejando a un lado los tres factores de interés preestablecidos, es de destacar que existen muchos modelos RF que obtienen mejores valores de AUC. Por ejemplo, el modelo RF compuesto por </w:t>
      </w:r>
      <w:r w:rsidR="00AC7CCE" w:rsidRPr="00A00E90">
        <w:rPr>
          <w:b/>
          <w:lang w:val="es-ES"/>
        </w:rPr>
        <w:t>“</w:t>
      </w:r>
      <w:r w:rsidRPr="00A00E90">
        <w:rPr>
          <w:b/>
          <w:lang w:val="es-ES"/>
        </w:rPr>
        <w:t>ESRP2 SRSF5 SRSF4 RNU6 SRSF10 PRPF40A</w:t>
      </w:r>
      <w:r w:rsidR="00AC7CCE" w:rsidRPr="00A00E90">
        <w:rPr>
          <w:b/>
          <w:lang w:val="es-ES"/>
        </w:rPr>
        <w:t xml:space="preserve">” obtiene un AUC = 0.952, </w:t>
      </w:r>
      <w:proofErr w:type="spellStart"/>
      <w:r w:rsidR="00AC7CCE" w:rsidRPr="00A00E90">
        <w:rPr>
          <w:b/>
          <w:lang w:val="es-ES"/>
        </w:rPr>
        <w:t>Sens</w:t>
      </w:r>
      <w:proofErr w:type="spellEnd"/>
      <w:r w:rsidR="00AC7CCE" w:rsidRPr="00A00E90">
        <w:rPr>
          <w:b/>
          <w:lang w:val="es-ES"/>
        </w:rPr>
        <w:t xml:space="preserve">= 0.867 y </w:t>
      </w:r>
      <w:proofErr w:type="spellStart"/>
      <w:r w:rsidR="00AC7CCE" w:rsidRPr="00A00E90">
        <w:rPr>
          <w:b/>
          <w:lang w:val="es-ES"/>
        </w:rPr>
        <w:t>Spec</w:t>
      </w:r>
      <w:proofErr w:type="spellEnd"/>
      <w:r w:rsidR="00AC7CCE" w:rsidRPr="00A00E90">
        <w:rPr>
          <w:b/>
          <w:lang w:val="es-ES"/>
        </w:rPr>
        <w:t xml:space="preserve">= 0.759. Tendrían que decirme si hay </w:t>
      </w:r>
      <w:r w:rsidR="00AC7CCE" w:rsidRPr="00980717">
        <w:rPr>
          <w:b/>
          <w:lang w:val="es-ES"/>
        </w:rPr>
        <w:t>algún modelo de los que aparecen en los ficheros rf.csv y glm.csv que os interese analizar con más profundidad, hasta ahora lo que hecho es concentrarme en aquellos modelos que tuvieran los tres factores que me indicó Juanma.</w:t>
      </w:r>
    </w:p>
    <w:p w14:paraId="3C04F7C9" w14:textId="14CDA774" w:rsidR="00980717" w:rsidRDefault="00980717" w:rsidP="009A2573">
      <w:pPr>
        <w:jc w:val="both"/>
        <w:rPr>
          <w:lang w:val="es-ES"/>
        </w:rPr>
      </w:pPr>
      <w:r>
        <w:rPr>
          <w:lang w:val="es-ES"/>
        </w:rPr>
        <w:t>2- Como segundo paso</w:t>
      </w:r>
      <w:r w:rsidR="00E95521">
        <w:rPr>
          <w:lang w:val="es-ES"/>
        </w:rPr>
        <w:t xml:space="preserve"> de este análisis</w:t>
      </w:r>
      <w:r>
        <w:rPr>
          <w:lang w:val="es-ES"/>
        </w:rPr>
        <w:t xml:space="preserve">, siguiendo la misma lógica </w:t>
      </w:r>
      <w:r w:rsidR="00852BDD">
        <w:rPr>
          <w:lang w:val="es-ES"/>
        </w:rPr>
        <w:t xml:space="preserve">utilizada para construir los modelos predictivos, tratamos de construir modelos de </w:t>
      </w:r>
      <w:proofErr w:type="spellStart"/>
      <w:r w:rsidR="00852BDD">
        <w:rPr>
          <w:lang w:val="es-ES"/>
        </w:rPr>
        <w:t>clustering</w:t>
      </w:r>
      <w:proofErr w:type="spellEnd"/>
      <w:r w:rsidR="00852BDD">
        <w:rPr>
          <w:lang w:val="es-ES"/>
        </w:rPr>
        <w:t xml:space="preserve">. En este caso, utilizando un </w:t>
      </w:r>
      <w:proofErr w:type="spellStart"/>
      <w:r w:rsidR="00852BDD" w:rsidRPr="00E95521">
        <w:rPr>
          <w:i/>
          <w:lang w:val="es-ES"/>
        </w:rPr>
        <w:t>Hierarchical</w:t>
      </w:r>
      <w:proofErr w:type="spellEnd"/>
      <w:r w:rsidR="00852BDD" w:rsidRPr="00E95521">
        <w:rPr>
          <w:i/>
          <w:lang w:val="es-ES"/>
        </w:rPr>
        <w:t xml:space="preserve"> </w:t>
      </w:r>
      <w:proofErr w:type="spellStart"/>
      <w:r w:rsidR="00852BDD" w:rsidRPr="00E95521">
        <w:rPr>
          <w:i/>
          <w:lang w:val="es-ES"/>
        </w:rPr>
        <w:t>Clustering</w:t>
      </w:r>
      <w:proofErr w:type="spellEnd"/>
      <w:r w:rsidR="00852BDD">
        <w:rPr>
          <w:lang w:val="es-ES"/>
        </w:rPr>
        <w:t xml:space="preserve"> y todas las funciones de distancias posibles, </w:t>
      </w:r>
      <w:r w:rsidR="00852BDD" w:rsidRPr="00852BDD">
        <w:rPr>
          <w:color w:val="FF0000"/>
          <w:lang w:val="es-ES"/>
        </w:rPr>
        <w:t xml:space="preserve">no se encontró ningún subconjunto de factores que produzca un agrupamiento con una </w:t>
      </w:r>
      <w:proofErr w:type="spellStart"/>
      <w:r w:rsidR="00852BDD" w:rsidRPr="00E95521">
        <w:rPr>
          <w:i/>
          <w:color w:val="FF0000"/>
          <w:lang w:val="es-ES"/>
        </w:rPr>
        <w:t>purity</w:t>
      </w:r>
      <w:proofErr w:type="spellEnd"/>
      <w:r w:rsidR="00852BDD" w:rsidRPr="00852BDD">
        <w:rPr>
          <w:color w:val="FF0000"/>
          <w:lang w:val="es-ES"/>
        </w:rPr>
        <w:t xml:space="preserve"> mayor de 0.7</w:t>
      </w:r>
      <w:r w:rsidR="00556804">
        <w:rPr>
          <w:color w:val="FF0000"/>
          <w:lang w:val="es-ES"/>
        </w:rPr>
        <w:t>5</w:t>
      </w:r>
      <w:r w:rsidR="00852BDD">
        <w:rPr>
          <w:lang w:val="es-ES"/>
        </w:rPr>
        <w:t>.</w:t>
      </w:r>
    </w:p>
    <w:p w14:paraId="5FD53FE1" w14:textId="5EE37B8C" w:rsidR="00852BDD" w:rsidRPr="005F1B1D" w:rsidRDefault="00852BDD" w:rsidP="009A2573">
      <w:pPr>
        <w:jc w:val="both"/>
      </w:pPr>
      <w:r>
        <w:rPr>
          <w:lang w:val="es-ES"/>
        </w:rPr>
        <w:t xml:space="preserve">3- </w:t>
      </w:r>
      <w:r w:rsidR="00DC1A58">
        <w:rPr>
          <w:lang w:val="es-ES"/>
        </w:rPr>
        <w:t>Por último</w:t>
      </w:r>
      <w:r w:rsidR="005F1B1D">
        <w:rPr>
          <w:lang w:val="es-ES"/>
        </w:rPr>
        <w:t xml:space="preserve">, </w:t>
      </w:r>
      <w:r w:rsidR="00FE3E65">
        <w:rPr>
          <w:lang w:val="es-ES"/>
        </w:rPr>
        <w:t>se realizó un análisis PCA sobre los datos.</w:t>
      </w:r>
      <w:r w:rsidR="005F1B1D">
        <w:rPr>
          <w:lang w:val="es-ES"/>
        </w:rPr>
        <w:t xml:space="preserve"> </w:t>
      </w:r>
      <w:r w:rsidR="005F1B1D" w:rsidRPr="005F1B1D">
        <w:t xml:space="preserve">Este </w:t>
      </w:r>
      <w:proofErr w:type="spellStart"/>
      <w:r w:rsidR="005F1B1D" w:rsidRPr="005F1B1D">
        <w:t>fue</w:t>
      </w:r>
      <w:proofErr w:type="spellEnd"/>
      <w:r w:rsidR="005F1B1D" w:rsidRPr="005F1B1D">
        <w:t xml:space="preserve"> el </w:t>
      </w:r>
      <w:proofErr w:type="spellStart"/>
      <w:r w:rsidR="005F1B1D" w:rsidRPr="005F1B1D">
        <w:t>resultado</w:t>
      </w:r>
      <w:proofErr w:type="spellEnd"/>
      <w:r w:rsidR="005F1B1D">
        <w:t>:</w:t>
      </w:r>
    </w:p>
    <w:p w14:paraId="66AE81F0" w14:textId="77777777" w:rsidR="00235D45" w:rsidRDefault="00235D45" w:rsidP="00235D45">
      <w:pPr>
        <w:pStyle w:val="FirstParagraph"/>
        <w:jc w:val="both"/>
      </w:pPr>
      <w:r>
        <w:t>The inertia of the first dimensions shows if there are strong relationships between variables and suggests the number of dimensions that should be studied.</w:t>
      </w:r>
    </w:p>
    <w:p w14:paraId="36DBA0F3" w14:textId="77777777" w:rsidR="00E95521" w:rsidRDefault="00235D45" w:rsidP="00235D45">
      <w:pPr>
        <w:pStyle w:val="BodyText"/>
        <w:jc w:val="both"/>
      </w:pPr>
      <w:r>
        <w:t xml:space="preserve">The first two dimensions of PCA express </w:t>
      </w:r>
      <w:r>
        <w:rPr>
          <w:b/>
        </w:rPr>
        <w:t>80.39%</w:t>
      </w:r>
      <w:r>
        <w:t xml:space="preserve"> of the total dataset inertia; that means that 80.39% of the individuals (or variables) cloud total variability is explained by the plane. This percentage is high and thus the first plane represents an important part of the data variability. This value is strongly greater than the reference value that equals </w:t>
      </w:r>
      <w:r>
        <w:rPr>
          <w:b/>
        </w:rPr>
        <w:t>14.44%</w:t>
      </w:r>
      <w:r>
        <w:t xml:space="preserve">, the variability explained by this plane is thus highly significant (the reference value is the 0.95-quantile of the inertia percentages distribution obtained by simulating 1007 data tables of equivalent size </w:t>
      </w:r>
      <w:proofErr w:type="gramStart"/>
      <w:r>
        <w:t>on the basis of</w:t>
      </w:r>
      <w:proofErr w:type="gramEnd"/>
      <w:r>
        <w:t xml:space="preserve"> a normal distribution).</w:t>
      </w:r>
      <w:bookmarkStart w:id="0" w:name="_Hlk6230930"/>
    </w:p>
    <w:p w14:paraId="66382264" w14:textId="22BA4D7D" w:rsidR="00235D45" w:rsidRDefault="00235D45" w:rsidP="00235D45">
      <w:pPr>
        <w:pStyle w:val="BodyText"/>
        <w:jc w:val="both"/>
      </w:pPr>
      <w:r>
        <w:t xml:space="preserve">An estimation of the right number of axis to interpret suggests </w:t>
      </w:r>
      <w:proofErr w:type="gramStart"/>
      <w:r>
        <w:t>to restrict</w:t>
      </w:r>
      <w:proofErr w:type="gramEnd"/>
      <w:r>
        <w:t xml:space="preserve"> the analysis to the description of the first 1 axis. </w:t>
      </w:r>
      <w:proofErr w:type="gramStart"/>
      <w:r>
        <w:t>These axis</w:t>
      </w:r>
      <w:proofErr w:type="gramEnd"/>
      <w:r>
        <w:t xml:space="preserve"> present an amount of inertia greater than those obtained by the 0.95-quantile of random distributions (75.97% against 7.63%). This observation suggests that only this axis is carrying a real information.</w:t>
      </w:r>
      <w:bookmarkEnd w:id="0"/>
    </w:p>
    <w:p w14:paraId="0B26AFEF" w14:textId="77777777" w:rsidR="00235D45" w:rsidRDefault="00235D45" w:rsidP="00235D45">
      <w:pPr>
        <w:pStyle w:val="BodyText"/>
        <w:jc w:val="both"/>
      </w:pPr>
    </w:p>
    <w:p w14:paraId="33E3F53C" w14:textId="77777777" w:rsidR="005F1B1D" w:rsidRDefault="005F1B1D" w:rsidP="00FE3E65">
      <w:pPr>
        <w:pStyle w:val="BodyText"/>
        <w:jc w:val="both"/>
      </w:pPr>
    </w:p>
    <w:p w14:paraId="36FFA669" w14:textId="77777777" w:rsidR="00FE3E65" w:rsidRDefault="00FE3E65" w:rsidP="00235D45">
      <w:pPr>
        <w:pStyle w:val="BodyText"/>
        <w:jc w:val="center"/>
      </w:pPr>
      <w:r>
        <w:rPr>
          <w:noProof/>
        </w:rPr>
        <w:lastRenderedPageBreak/>
        <w:drawing>
          <wp:inline distT="0" distB="0" distL="0" distR="0" wp14:anchorId="788CD121" wp14:editId="1E9CE9EF">
            <wp:extent cx="4487636" cy="2677886"/>
            <wp:effectExtent l="0" t="0" r="8255" b="8255"/>
            <wp:docPr id="9" name="Picture"/>
            <wp:cNvGraphicFramePr/>
            <a:graphic xmlns:a="http://schemas.openxmlformats.org/drawingml/2006/main">
              <a:graphicData uri="http://schemas.openxmlformats.org/drawingml/2006/picture">
                <pic:pic xmlns:pic="http://schemas.openxmlformats.org/drawingml/2006/picture">
                  <pic:nvPicPr>
                    <pic:cNvPr id="0" name="Picture" descr="Investigate-Prostata_files/figure-docx/unnamed-chunk-2-1.png"/>
                    <pic:cNvPicPr>
                      <a:picLocks noChangeAspect="1" noChangeArrowheads="1"/>
                    </pic:cNvPicPr>
                  </pic:nvPicPr>
                  <pic:blipFill>
                    <a:blip r:embed="rId11"/>
                    <a:stretch>
                      <a:fillRect/>
                    </a:stretch>
                  </pic:blipFill>
                  <pic:spPr bwMode="auto">
                    <a:xfrm>
                      <a:off x="0" y="0"/>
                      <a:ext cx="4510089" cy="2691284"/>
                    </a:xfrm>
                    <a:prstGeom prst="rect">
                      <a:avLst/>
                    </a:prstGeom>
                    <a:noFill/>
                    <a:ln w="9525">
                      <a:noFill/>
                      <a:headEnd/>
                      <a:tailEnd/>
                    </a:ln>
                  </pic:spPr>
                </pic:pic>
              </a:graphicData>
            </a:graphic>
          </wp:inline>
        </w:drawing>
      </w:r>
    </w:p>
    <w:p w14:paraId="6E5C486A" w14:textId="603B8BA0" w:rsidR="00FE3E65" w:rsidRPr="00FE3E65" w:rsidRDefault="00FE3E65" w:rsidP="00E95521">
      <w:pPr>
        <w:pStyle w:val="BodyText"/>
        <w:jc w:val="both"/>
      </w:pPr>
      <w:r>
        <w:rPr>
          <w:b/>
        </w:rPr>
        <w:t>Figure</w:t>
      </w:r>
      <w:r w:rsidR="00235D45">
        <w:rPr>
          <w:b/>
        </w:rPr>
        <w:t>.</w:t>
      </w:r>
      <w:r>
        <w:rPr>
          <w:b/>
        </w:rPr>
        <w:t xml:space="preserve"> Decomposition of the total inertia on the components of the PCA</w:t>
      </w:r>
      <w:r>
        <w:t xml:space="preserve"> </w:t>
      </w:r>
      <w:proofErr w:type="gramStart"/>
      <w:r>
        <w:rPr>
          <w:i/>
        </w:rPr>
        <w:t>The</w:t>
      </w:r>
      <w:proofErr w:type="gramEnd"/>
      <w:r>
        <w:rPr>
          <w:i/>
        </w:rPr>
        <w:t xml:space="preserve"> first factor is major: it expresses itself 75.97% of the data variability.</w:t>
      </w:r>
      <w:r>
        <w:t xml:space="preserve"> </w:t>
      </w:r>
      <w:r>
        <w:rPr>
          <w:i/>
        </w:rPr>
        <w:t>Note that in such a case, the variability related to the other components might be meaningless, despite of a high percentage.</w:t>
      </w:r>
    </w:p>
    <w:p w14:paraId="0A0A8757" w14:textId="77777777" w:rsidR="00852BDD" w:rsidRPr="00FE3E65" w:rsidRDefault="00852BDD" w:rsidP="009A2573">
      <w:pPr>
        <w:jc w:val="both"/>
      </w:pPr>
    </w:p>
    <w:p w14:paraId="7A8CFD7B" w14:textId="413C10D2" w:rsidR="00852BDD" w:rsidRDefault="00235D45" w:rsidP="00235D45">
      <w:pPr>
        <w:jc w:val="center"/>
      </w:pPr>
      <w:r>
        <w:rPr>
          <w:noProof/>
        </w:rPr>
        <w:drawing>
          <wp:inline distT="0" distB="0" distL="0" distR="0" wp14:anchorId="5CFD7EF1" wp14:editId="03FBC689">
            <wp:extent cx="4495238" cy="368571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238" cy="3685714"/>
                    </a:xfrm>
                    <a:prstGeom prst="rect">
                      <a:avLst/>
                    </a:prstGeom>
                  </pic:spPr>
                </pic:pic>
              </a:graphicData>
            </a:graphic>
          </wp:inline>
        </w:drawing>
      </w:r>
    </w:p>
    <w:p w14:paraId="385E116B" w14:textId="3812F35A" w:rsidR="00235D45" w:rsidRDefault="00235D45" w:rsidP="00235D45">
      <w:pPr>
        <w:jc w:val="center"/>
      </w:pPr>
      <w:r>
        <w:t>Figure. Contribution of splicing factors to dimension 1.</w:t>
      </w:r>
    </w:p>
    <w:p w14:paraId="17AB58C1" w14:textId="371237DF" w:rsidR="00AC4DEB" w:rsidRPr="00FE3E65" w:rsidRDefault="00235D45" w:rsidP="00E95521">
      <w:pPr>
        <w:jc w:val="both"/>
      </w:pPr>
      <w:r>
        <w:t>As shown in above Figure, the factors SNRNP200, SRSF3 y SRRM1 did not significantly contribute to explain the variability of individuals</w:t>
      </w:r>
      <w:r w:rsidR="00E95521">
        <w:t>.</w:t>
      </w:r>
    </w:p>
    <w:p w14:paraId="41F5C1B4" w14:textId="0C14EA04" w:rsidR="005D6C2F" w:rsidRDefault="005D6C2F" w:rsidP="00302A31">
      <w:pPr>
        <w:jc w:val="both"/>
      </w:pPr>
      <w:r>
        <w:rPr>
          <w:rFonts w:ascii="Arial" w:hAnsi="Arial" w:cs="Arial"/>
          <w:color w:val="222222"/>
          <w:sz w:val="20"/>
          <w:szCs w:val="20"/>
          <w:shd w:val="clear" w:color="auto" w:fill="FFFFFF"/>
          <w:lang w:val="es-ES"/>
        </w:rPr>
        <w:lastRenderedPageBreak/>
        <w:t xml:space="preserve">[1] </w:t>
      </w:r>
      <w:proofErr w:type="spellStart"/>
      <w:r w:rsidRPr="00CE2952">
        <w:rPr>
          <w:rFonts w:ascii="Arial" w:hAnsi="Arial" w:cs="Arial"/>
          <w:color w:val="222222"/>
          <w:sz w:val="20"/>
          <w:szCs w:val="20"/>
          <w:shd w:val="clear" w:color="auto" w:fill="FFFFFF"/>
          <w:lang w:val="es-ES"/>
        </w:rPr>
        <w:t>Gahete</w:t>
      </w:r>
      <w:proofErr w:type="spellEnd"/>
      <w:r w:rsidRPr="00CE2952">
        <w:rPr>
          <w:rFonts w:ascii="Arial" w:hAnsi="Arial" w:cs="Arial"/>
          <w:color w:val="222222"/>
          <w:sz w:val="20"/>
          <w:szCs w:val="20"/>
          <w:shd w:val="clear" w:color="auto" w:fill="FFFFFF"/>
          <w:lang w:val="es-ES"/>
        </w:rPr>
        <w:t xml:space="preserve">, M. D., del Rio-Moreno, M., Camargo, A., </w:t>
      </w:r>
      <w:proofErr w:type="spellStart"/>
      <w:r w:rsidRPr="00CE2952">
        <w:rPr>
          <w:rFonts w:ascii="Arial" w:hAnsi="Arial" w:cs="Arial"/>
          <w:color w:val="222222"/>
          <w:sz w:val="20"/>
          <w:szCs w:val="20"/>
          <w:shd w:val="clear" w:color="auto" w:fill="FFFFFF"/>
          <w:lang w:val="es-ES"/>
        </w:rPr>
        <w:t>Alcala</w:t>
      </w:r>
      <w:proofErr w:type="spellEnd"/>
      <w:r w:rsidRPr="00CE2952">
        <w:rPr>
          <w:rFonts w:ascii="Arial" w:hAnsi="Arial" w:cs="Arial"/>
          <w:color w:val="222222"/>
          <w:sz w:val="20"/>
          <w:szCs w:val="20"/>
          <w:shd w:val="clear" w:color="auto" w:fill="FFFFFF"/>
          <w:lang w:val="es-ES"/>
        </w:rPr>
        <w:t xml:space="preserve">-Diaz, J. F., </w:t>
      </w:r>
      <w:proofErr w:type="spellStart"/>
      <w:r w:rsidRPr="00CE2952">
        <w:rPr>
          <w:rFonts w:ascii="Arial" w:hAnsi="Arial" w:cs="Arial"/>
          <w:color w:val="222222"/>
          <w:sz w:val="20"/>
          <w:szCs w:val="20"/>
          <w:shd w:val="clear" w:color="auto" w:fill="FFFFFF"/>
          <w:lang w:val="es-ES"/>
        </w:rPr>
        <w:t>Alors-Perez</w:t>
      </w:r>
      <w:proofErr w:type="spellEnd"/>
      <w:r w:rsidRPr="00CE2952">
        <w:rPr>
          <w:rFonts w:ascii="Arial" w:hAnsi="Arial" w:cs="Arial"/>
          <w:color w:val="222222"/>
          <w:sz w:val="20"/>
          <w:szCs w:val="20"/>
          <w:shd w:val="clear" w:color="auto" w:fill="FFFFFF"/>
          <w:lang w:val="es-ES"/>
        </w:rPr>
        <w:t xml:space="preserve">, E., Delgado-Lista, J., ... </w:t>
      </w:r>
      <w:r>
        <w:rPr>
          <w:rFonts w:ascii="Arial" w:hAnsi="Arial" w:cs="Arial"/>
          <w:color w:val="222222"/>
          <w:sz w:val="20"/>
          <w:szCs w:val="20"/>
          <w:shd w:val="clear" w:color="auto" w:fill="FFFFFF"/>
        </w:rPr>
        <w:t>&amp; Lopez-Miranda, J. (2018). Changes in Splicing Machinery Components Influence, Precede, and Early Predict the Development of Type 2 Diabetes: From the CORDIOPREV Study. </w:t>
      </w:r>
      <w:proofErr w:type="spellStart"/>
      <w:r>
        <w:rPr>
          <w:rFonts w:ascii="Arial" w:hAnsi="Arial" w:cs="Arial"/>
          <w:i/>
          <w:iCs/>
          <w:color w:val="222222"/>
          <w:sz w:val="20"/>
          <w:szCs w:val="20"/>
          <w:shd w:val="clear" w:color="auto" w:fill="FFFFFF"/>
        </w:rPr>
        <w:t>EBioMedicine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 356-365.</w:t>
      </w:r>
    </w:p>
    <w:p w14:paraId="777E0320" w14:textId="77777777" w:rsidR="00F15AD3" w:rsidRDefault="00F15AD3" w:rsidP="006C0730">
      <w:bookmarkStart w:id="1" w:name="_GoBack"/>
      <w:bookmarkEnd w:id="1"/>
    </w:p>
    <w:sectPr w:rsidR="00F15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724CF"/>
    <w:multiLevelType w:val="hybridMultilevel"/>
    <w:tmpl w:val="0F8E36FA"/>
    <w:lvl w:ilvl="0" w:tplc="31E812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17"/>
    <w:rsid w:val="000D17E0"/>
    <w:rsid w:val="0019335A"/>
    <w:rsid w:val="0020636D"/>
    <w:rsid w:val="00235D45"/>
    <w:rsid w:val="00240148"/>
    <w:rsid w:val="002559AD"/>
    <w:rsid w:val="002D60D8"/>
    <w:rsid w:val="00302A31"/>
    <w:rsid w:val="00324F40"/>
    <w:rsid w:val="0035004B"/>
    <w:rsid w:val="00376391"/>
    <w:rsid w:val="004123AF"/>
    <w:rsid w:val="00556804"/>
    <w:rsid w:val="005C3F6E"/>
    <w:rsid w:val="005D6C2F"/>
    <w:rsid w:val="005F1B1D"/>
    <w:rsid w:val="006C0730"/>
    <w:rsid w:val="006C34F5"/>
    <w:rsid w:val="0083328E"/>
    <w:rsid w:val="00852BDD"/>
    <w:rsid w:val="008742E3"/>
    <w:rsid w:val="00952059"/>
    <w:rsid w:val="00980717"/>
    <w:rsid w:val="009A2573"/>
    <w:rsid w:val="009A3202"/>
    <w:rsid w:val="00A00E90"/>
    <w:rsid w:val="00AC4DEB"/>
    <w:rsid w:val="00AC7CCE"/>
    <w:rsid w:val="00B2364D"/>
    <w:rsid w:val="00B4678C"/>
    <w:rsid w:val="00B70C62"/>
    <w:rsid w:val="00BA27F0"/>
    <w:rsid w:val="00C50CC3"/>
    <w:rsid w:val="00CA3117"/>
    <w:rsid w:val="00CE2952"/>
    <w:rsid w:val="00D608FE"/>
    <w:rsid w:val="00D74FFB"/>
    <w:rsid w:val="00DC1A58"/>
    <w:rsid w:val="00E95521"/>
    <w:rsid w:val="00E968FB"/>
    <w:rsid w:val="00ED635F"/>
    <w:rsid w:val="00EE7F1B"/>
    <w:rsid w:val="00F15AD3"/>
    <w:rsid w:val="00F92DAE"/>
    <w:rsid w:val="00FE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661B"/>
  <w15:chartTrackingRefBased/>
  <w15:docId w15:val="{ACAC6594-DB18-477E-9BB2-834A7205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0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08FE"/>
    <w:rPr>
      <w:rFonts w:ascii="Courier New" w:eastAsia="Times New Roman" w:hAnsi="Courier New" w:cs="Courier New"/>
      <w:sz w:val="20"/>
      <w:szCs w:val="20"/>
    </w:rPr>
  </w:style>
  <w:style w:type="character" w:customStyle="1" w:styleId="gnkrckgcgsb">
    <w:name w:val="gnkrckgcgsb"/>
    <w:basedOn w:val="DefaultParagraphFont"/>
    <w:rsid w:val="00D608FE"/>
  </w:style>
  <w:style w:type="paragraph" w:styleId="BalloonText">
    <w:name w:val="Balloon Text"/>
    <w:basedOn w:val="Normal"/>
    <w:link w:val="BalloonTextChar"/>
    <w:uiPriority w:val="99"/>
    <w:semiHidden/>
    <w:unhideWhenUsed/>
    <w:rsid w:val="008742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2E3"/>
    <w:rPr>
      <w:rFonts w:ascii="Segoe UI" w:hAnsi="Segoe UI" w:cs="Segoe UI"/>
      <w:sz w:val="18"/>
      <w:szCs w:val="18"/>
    </w:rPr>
  </w:style>
  <w:style w:type="paragraph" w:styleId="ListParagraph">
    <w:name w:val="List Paragraph"/>
    <w:basedOn w:val="Normal"/>
    <w:uiPriority w:val="34"/>
    <w:qFormat/>
    <w:rsid w:val="00B4678C"/>
    <w:pPr>
      <w:ind w:left="720"/>
      <w:contextualSpacing/>
    </w:pPr>
  </w:style>
  <w:style w:type="paragraph" w:styleId="BodyText">
    <w:name w:val="Body Text"/>
    <w:basedOn w:val="Normal"/>
    <w:link w:val="BodyTextChar"/>
    <w:qFormat/>
    <w:rsid w:val="00FE3E65"/>
    <w:pPr>
      <w:spacing w:before="180" w:after="180" w:line="240" w:lineRule="auto"/>
    </w:pPr>
    <w:rPr>
      <w:sz w:val="24"/>
      <w:szCs w:val="24"/>
    </w:rPr>
  </w:style>
  <w:style w:type="character" w:customStyle="1" w:styleId="BodyTextChar">
    <w:name w:val="Body Text Char"/>
    <w:basedOn w:val="DefaultParagraphFont"/>
    <w:link w:val="BodyText"/>
    <w:rsid w:val="00FE3E65"/>
    <w:rPr>
      <w:sz w:val="24"/>
      <w:szCs w:val="24"/>
    </w:rPr>
  </w:style>
  <w:style w:type="paragraph" w:customStyle="1" w:styleId="FirstParagraph">
    <w:name w:val="First Paragraph"/>
    <w:basedOn w:val="BodyText"/>
    <w:next w:val="BodyText"/>
    <w:qFormat/>
    <w:rsid w:val="0023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5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Ranking of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Sheet2!$C$1</c:f>
              <c:strCache>
                <c:ptCount val="1"/>
                <c:pt idx="0">
                  <c:v>Importance</c:v>
                </c:pt>
              </c:strCache>
            </c:strRef>
          </c:tx>
          <c:spPr>
            <a:solidFill>
              <a:schemeClr val="accent1"/>
            </a:solidFill>
            <a:ln>
              <a:noFill/>
            </a:ln>
            <a:effectLst/>
          </c:spPr>
          <c:invertIfNegative val="0"/>
          <c:cat>
            <c:strRef>
              <c:f>Sheet2!$B$2:$B$27</c:f>
              <c:strCache>
                <c:ptCount val="26"/>
                <c:pt idx="0">
                  <c:v>ESRP2</c:v>
                </c:pt>
                <c:pt idx="1">
                  <c:v>SRSF5</c:v>
                </c:pt>
                <c:pt idx="2">
                  <c:v>SRSF4</c:v>
                </c:pt>
                <c:pt idx="3">
                  <c:v>RNU6</c:v>
                </c:pt>
                <c:pt idx="4">
                  <c:v>TIA1</c:v>
                </c:pt>
                <c:pt idx="5">
                  <c:v>SRSF10</c:v>
                </c:pt>
                <c:pt idx="6">
                  <c:v>U2AF2</c:v>
                </c:pt>
                <c:pt idx="7">
                  <c:v>SRSF9</c:v>
                </c:pt>
                <c:pt idx="8">
                  <c:v>RBM3</c:v>
                </c:pt>
                <c:pt idx="9">
                  <c:v>SRRM4</c:v>
                </c:pt>
                <c:pt idx="10">
                  <c:v>SND1</c:v>
                </c:pt>
                <c:pt idx="11">
                  <c:v>RBM45</c:v>
                </c:pt>
                <c:pt idx="12">
                  <c:v>RNU12</c:v>
                </c:pt>
                <c:pt idx="13">
                  <c:v>ESRP1</c:v>
                </c:pt>
                <c:pt idx="14">
                  <c:v>SF3B1</c:v>
                </c:pt>
                <c:pt idx="15">
                  <c:v>SRSF2</c:v>
                </c:pt>
                <c:pt idx="16">
                  <c:v>TRA2A</c:v>
                </c:pt>
                <c:pt idx="17">
                  <c:v>NOVA1</c:v>
                </c:pt>
                <c:pt idx="18">
                  <c:v>SRSF3</c:v>
                </c:pt>
                <c:pt idx="19">
                  <c:v>MAGOH</c:v>
                </c:pt>
                <c:pt idx="20">
                  <c:v>KHDRBS1</c:v>
                </c:pt>
                <c:pt idx="21">
                  <c:v>RNU4</c:v>
                </c:pt>
                <c:pt idx="22">
                  <c:v>PRPF40A</c:v>
                </c:pt>
                <c:pt idx="23">
                  <c:v>SNRNP200</c:v>
                </c:pt>
                <c:pt idx="24">
                  <c:v>PTBP1</c:v>
                </c:pt>
                <c:pt idx="25">
                  <c:v>SRRM1</c:v>
                </c:pt>
              </c:strCache>
            </c:strRef>
          </c:cat>
          <c:val>
            <c:numRef>
              <c:f>Sheet2!$C$2:$C$27</c:f>
              <c:numCache>
                <c:formatCode>General</c:formatCode>
                <c:ptCount val="26"/>
                <c:pt idx="0">
                  <c:v>0.94997296879826998</c:v>
                </c:pt>
                <c:pt idx="1">
                  <c:v>0.90212774173617505</c:v>
                </c:pt>
                <c:pt idx="2">
                  <c:v>0.90143265369169001</c:v>
                </c:pt>
                <c:pt idx="3">
                  <c:v>0.79122258263824496</c:v>
                </c:pt>
                <c:pt idx="4">
                  <c:v>0.75283827618165</c:v>
                </c:pt>
                <c:pt idx="5">
                  <c:v>0.74758649984553605</c:v>
                </c:pt>
                <c:pt idx="6">
                  <c:v>0.69726984862526997</c:v>
                </c:pt>
                <c:pt idx="7">
                  <c:v>0.67340515909792997</c:v>
                </c:pt>
                <c:pt idx="8">
                  <c:v>0.599494130367624</c:v>
                </c:pt>
                <c:pt idx="9">
                  <c:v>0.56752008032128498</c:v>
                </c:pt>
                <c:pt idx="10">
                  <c:v>0.52056302131603305</c:v>
                </c:pt>
                <c:pt idx="11">
                  <c:v>0.51214473277726302</c:v>
                </c:pt>
                <c:pt idx="12">
                  <c:v>0.47823988260735301</c:v>
                </c:pt>
                <c:pt idx="13">
                  <c:v>0.47650216249613803</c:v>
                </c:pt>
                <c:pt idx="14">
                  <c:v>0.42633997528575801</c:v>
                </c:pt>
                <c:pt idx="15">
                  <c:v>0.40977371022551701</c:v>
                </c:pt>
                <c:pt idx="16">
                  <c:v>0.37567578004324997</c:v>
                </c:pt>
                <c:pt idx="17">
                  <c:v>0.36555838739573698</c:v>
                </c:pt>
                <c:pt idx="18">
                  <c:v>0.357410410874266</c:v>
                </c:pt>
                <c:pt idx="19">
                  <c:v>0.34335418597466799</c:v>
                </c:pt>
                <c:pt idx="20">
                  <c:v>0.34130753784368201</c:v>
                </c:pt>
                <c:pt idx="21">
                  <c:v>0.34061244979919703</c:v>
                </c:pt>
                <c:pt idx="22">
                  <c:v>0.30133997528575801</c:v>
                </c:pt>
                <c:pt idx="23">
                  <c:v>0.246273555761508</c:v>
                </c:pt>
                <c:pt idx="24">
                  <c:v>0.228741890639481</c:v>
                </c:pt>
                <c:pt idx="25">
                  <c:v>0.19329240037071399</c:v>
                </c:pt>
              </c:numCache>
            </c:numRef>
          </c:val>
          <c:extLst>
            <c:ext xmlns:c16="http://schemas.microsoft.com/office/drawing/2014/chart" uri="{C3380CC4-5D6E-409C-BE32-E72D297353CC}">
              <c16:uniqueId val="{00000000-E3AD-43A8-B736-68140594AA61}"/>
            </c:ext>
          </c:extLst>
        </c:ser>
        <c:dLbls>
          <c:showLegendKey val="0"/>
          <c:showVal val="0"/>
          <c:showCatName val="0"/>
          <c:showSerName val="0"/>
          <c:showPercent val="0"/>
          <c:showBubbleSize val="0"/>
        </c:dLbls>
        <c:gapWidth val="219"/>
        <c:overlap val="-27"/>
        <c:axId val="1437847952"/>
        <c:axId val="1206551488"/>
      </c:barChart>
      <c:catAx>
        <c:axId val="143784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551488"/>
        <c:crosses val="autoZero"/>
        <c:auto val="1"/>
        <c:lblAlgn val="ctr"/>
        <c:lblOffset val="100"/>
        <c:noMultiLvlLbl val="0"/>
      </c:catAx>
      <c:valAx>
        <c:axId val="120655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84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Ranking of factors-SAM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Sheet2!$C$1</c:f>
              <c:strCache>
                <c:ptCount val="1"/>
                <c:pt idx="0">
                  <c:v>Importance</c:v>
                </c:pt>
              </c:strCache>
            </c:strRef>
          </c:tx>
          <c:spPr>
            <a:solidFill>
              <a:schemeClr val="accent1"/>
            </a:solidFill>
            <a:ln>
              <a:noFill/>
            </a:ln>
            <a:effectLst/>
          </c:spPr>
          <c:invertIfNegative val="0"/>
          <c:cat>
            <c:strRef>
              <c:f>Sheet2!$B$2:$B$27</c:f>
              <c:strCache>
                <c:ptCount val="26"/>
                <c:pt idx="0">
                  <c:v>ESRP2</c:v>
                </c:pt>
                <c:pt idx="1">
                  <c:v>RNU6</c:v>
                </c:pt>
                <c:pt idx="2">
                  <c:v>SRSF9</c:v>
                </c:pt>
                <c:pt idx="3">
                  <c:v>SRSF5</c:v>
                </c:pt>
                <c:pt idx="4">
                  <c:v>TIA1</c:v>
                </c:pt>
                <c:pt idx="5">
                  <c:v>SRSF10</c:v>
                </c:pt>
                <c:pt idx="6">
                  <c:v>ESRP1</c:v>
                </c:pt>
                <c:pt idx="7">
                  <c:v>TRA2A</c:v>
                </c:pt>
                <c:pt idx="8">
                  <c:v>SF3B1</c:v>
                </c:pt>
                <c:pt idx="9">
                  <c:v>SNRNP200</c:v>
                </c:pt>
                <c:pt idx="10">
                  <c:v>SRSF4</c:v>
                </c:pt>
                <c:pt idx="11">
                  <c:v>RBM3</c:v>
                </c:pt>
                <c:pt idx="12">
                  <c:v>RBM45</c:v>
                </c:pt>
                <c:pt idx="13">
                  <c:v>SND1</c:v>
                </c:pt>
                <c:pt idx="14">
                  <c:v>SRRM1</c:v>
                </c:pt>
                <c:pt idx="15">
                  <c:v>KHDRBS1</c:v>
                </c:pt>
                <c:pt idx="16">
                  <c:v>MAGOH</c:v>
                </c:pt>
                <c:pt idx="17">
                  <c:v>U2AF2</c:v>
                </c:pt>
                <c:pt idx="18">
                  <c:v>PRPF40A</c:v>
                </c:pt>
                <c:pt idx="19">
                  <c:v>PTBP1</c:v>
                </c:pt>
                <c:pt idx="20">
                  <c:v>RNU12</c:v>
                </c:pt>
                <c:pt idx="21">
                  <c:v>RNU4</c:v>
                </c:pt>
                <c:pt idx="22">
                  <c:v>SRSF3</c:v>
                </c:pt>
                <c:pt idx="23">
                  <c:v>SRSF2</c:v>
                </c:pt>
                <c:pt idx="24">
                  <c:v>NOVA1</c:v>
                </c:pt>
                <c:pt idx="25">
                  <c:v>SRRM4</c:v>
                </c:pt>
              </c:strCache>
            </c:strRef>
          </c:cat>
          <c:val>
            <c:numRef>
              <c:f>Sheet2!$C$2:$C$27</c:f>
              <c:numCache>
                <c:formatCode>General</c:formatCode>
                <c:ptCount val="26"/>
                <c:pt idx="0">
                  <c:v>5.4613415889999999</c:v>
                </c:pt>
                <c:pt idx="1">
                  <c:v>4.6152078950000002</c:v>
                </c:pt>
                <c:pt idx="2">
                  <c:v>4.434511477</c:v>
                </c:pt>
                <c:pt idx="3">
                  <c:v>4.1521184829999997</c:v>
                </c:pt>
                <c:pt idx="4">
                  <c:v>4.1082470469999999</c:v>
                </c:pt>
                <c:pt idx="5">
                  <c:v>3.254052545</c:v>
                </c:pt>
                <c:pt idx="6">
                  <c:v>3.1965271930000001</c:v>
                </c:pt>
                <c:pt idx="7">
                  <c:v>2.906301472</c:v>
                </c:pt>
                <c:pt idx="8">
                  <c:v>2.886567602</c:v>
                </c:pt>
                <c:pt idx="9">
                  <c:v>2.8437218120000001</c:v>
                </c:pt>
                <c:pt idx="10">
                  <c:v>2.6391571329999999</c:v>
                </c:pt>
                <c:pt idx="11">
                  <c:v>2.5780783469999999</c:v>
                </c:pt>
                <c:pt idx="12">
                  <c:v>2.5321976190000002</c:v>
                </c:pt>
                <c:pt idx="13">
                  <c:v>2.234404831</c:v>
                </c:pt>
                <c:pt idx="14">
                  <c:v>2.13998343</c:v>
                </c:pt>
                <c:pt idx="15">
                  <c:v>2.010323847</c:v>
                </c:pt>
                <c:pt idx="16">
                  <c:v>1.8501143769999999</c:v>
                </c:pt>
                <c:pt idx="17">
                  <c:v>1.7227157399999999</c:v>
                </c:pt>
                <c:pt idx="18">
                  <c:v>1.6603289429999999</c:v>
                </c:pt>
                <c:pt idx="19">
                  <c:v>1.4724628470000001</c:v>
                </c:pt>
                <c:pt idx="20">
                  <c:v>1.351895378</c:v>
                </c:pt>
                <c:pt idx="21">
                  <c:v>1.3198083700000001</c:v>
                </c:pt>
                <c:pt idx="22">
                  <c:v>1.2858072</c:v>
                </c:pt>
                <c:pt idx="23">
                  <c:v>1.2727892890000001</c:v>
                </c:pt>
                <c:pt idx="24">
                  <c:v>0.25992480200000001</c:v>
                </c:pt>
                <c:pt idx="25">
                  <c:v>0.12906119999999999</c:v>
                </c:pt>
              </c:numCache>
            </c:numRef>
          </c:val>
          <c:extLst>
            <c:ext xmlns:c16="http://schemas.microsoft.com/office/drawing/2014/chart" uri="{C3380CC4-5D6E-409C-BE32-E72D297353CC}">
              <c16:uniqueId val="{00000000-3E3C-483B-AF93-5C39392E1652}"/>
            </c:ext>
          </c:extLst>
        </c:ser>
        <c:dLbls>
          <c:showLegendKey val="0"/>
          <c:showVal val="0"/>
          <c:showCatName val="0"/>
          <c:showSerName val="0"/>
          <c:showPercent val="0"/>
          <c:showBubbleSize val="0"/>
        </c:dLbls>
        <c:gapWidth val="219"/>
        <c:overlap val="-27"/>
        <c:axId val="717648144"/>
        <c:axId val="717723440"/>
      </c:barChart>
      <c:catAx>
        <c:axId val="71764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723440"/>
        <c:crosses val="autoZero"/>
        <c:auto val="1"/>
        <c:lblAlgn val="ctr"/>
        <c:lblOffset val="100"/>
        <c:noMultiLvlLbl val="0"/>
      </c:catAx>
      <c:valAx>
        <c:axId val="71772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648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7</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Gabriel Reyes Pupo</dc:creator>
  <cp:keywords/>
  <dc:description/>
  <cp:lastModifiedBy>Oscar Gabriel Reyes Pupo</cp:lastModifiedBy>
  <cp:revision>26</cp:revision>
  <dcterms:created xsi:type="dcterms:W3CDTF">2019-04-14T14:55:00Z</dcterms:created>
  <dcterms:modified xsi:type="dcterms:W3CDTF">2019-04-15T12:49:00Z</dcterms:modified>
</cp:coreProperties>
</file>