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RAG Pipeline Engineering</w:t>
      </w:r>
    </w:p>
    <w:p>
      <w:pPr>
        <w:spacing w:after="200" w:before="0"/>
        <w:jc w:val="center"/>
      </w:pPr>
      <w:r>
        <w:rPr>
          <w:rFonts w:ascii="Arial" w:cs="Arial" w:eastAsia="Arial" w:hAnsi="Arial"/>
          <w:color w:val="2E5FA3"/>
          <w:sz w:val="32"/>
          <w:szCs w:val="32"/>
        </w:rPr>
        <w:t xml:space="preserve">Insights, Strategies &amp; Evaluation Documentation</w:t>
      </w:r>
    </w:p>
    <w:p>
      <w:pPr>
        <w:pBdr>
          <w:bottom w:val="single" w:color="2E5FA3" w:sz="8" w:space="8"/>
        </w:pBdr>
        <w:spacing w:after="800" w:before="0"/>
        <w:jc w:val="center"/>
      </w:pPr>
      <w:r>
        <w:rPr>
          <w:rFonts w:ascii="Arial" w:cs="Arial" w:eastAsia="Arial" w:hAnsi="Arial"/>
          <w:i/>
          <w:iCs/>
          <w:color w:val="595959"/>
          <w:sz w:val="22"/>
          <w:szCs w:val="22"/>
        </w:rPr>
        <w:t xml:space="preserve">A Technical Reference for Retrieval-Augmented Generation Development</w:t>
      </w:r>
    </w:p>
    <w:p>
      <w:r>
        <w:br w:type="page"/>
      </w:r>
    </w:p>
    <w:p>
      <w:pPr>
        <w:pStyle w:val="Heading1"/>
        <w:pBdr>
          <w:bottom w:val="single" w:color="2E5FA3" w:sz="6" w:space="4"/>
        </w:pBdr>
        <w:spacing w:after="120" w:before="360"/>
      </w:pPr>
      <w:r>
        <w:rPr>
          <w:rFonts w:ascii="Arial" w:cs="Arial" w:eastAsia="Arial" w:hAnsi="Arial"/>
          <w:b/>
          <w:bCs/>
          <w:color w:val="1F3864"/>
          <w:sz w:val="32"/>
          <w:szCs w:val="32"/>
        </w:rPr>
        <w:t xml:space="preserve">1. Chunking Strategies</w:t>
      </w:r>
    </w:p>
    <w:p>
      <w:pPr>
        <w:spacing w:after="60" w:before="60"/>
      </w:pPr>
      <w:r>
        <w:rPr>
          <w:rFonts w:ascii="Arial" w:cs="Arial" w:eastAsia="Arial" w:hAnsi="Arial"/>
          <w:color w:val="333333"/>
          <w:sz w:val="22"/>
          <w:szCs w:val="22"/>
        </w:rPr>
        <w:t xml:space="preserve">Effective chunking is a foundational requirement for any high-performing RAG pipeline. Various strategies have been explored using LangChain's document loading framework, each offering a different trade-off between simplicity and semantic fidelity.</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1.1  Length-Based Chunking</w:t>
      </w:r>
    </w:p>
    <w:p>
      <w:pPr>
        <w:spacing w:after="60" w:before="60"/>
      </w:pPr>
      <w:r>
        <w:rPr>
          <w:rFonts w:ascii="Arial" w:cs="Arial" w:eastAsia="Arial" w:hAnsi="Arial"/>
          <w:color w:val="333333"/>
          <w:sz w:val="22"/>
          <w:szCs w:val="22"/>
        </w:rPr>
        <w:t xml:space="preserve">Splits text according to a fixed character or token length. This approach is computationally simple and fast, though it may sever semantically coherent passages at arbitrary boundaries.</w:t>
      </w:r>
    </w:p>
    <w:p>
      <w:pPr>
        <w:pStyle w:val="Heading2"/>
        <w:spacing w:after="100" w:before="280"/>
      </w:pPr>
      <w:r>
        <w:rPr>
          <w:rFonts w:ascii="Arial" w:cs="Arial" w:eastAsia="Arial" w:hAnsi="Arial"/>
          <w:b/>
          <w:bCs/>
          <w:color w:val="2E5FA3"/>
          <w:sz w:val="26"/>
          <w:szCs w:val="26"/>
        </w:rPr>
        <w:t xml:space="preserve">1.2  Text Structure-Based Chunking</w:t>
      </w:r>
    </w:p>
    <w:p>
      <w:pPr>
        <w:spacing w:after="60" w:before="60"/>
      </w:pPr>
      <w:r>
        <w:rPr>
          <w:rFonts w:ascii="Arial" w:cs="Arial" w:eastAsia="Arial" w:hAnsi="Arial"/>
          <w:color w:val="333333"/>
          <w:sz w:val="22"/>
          <w:szCs w:val="22"/>
        </w:rPr>
        <w:t xml:space="preserve">Divides content along natural linguistic boundaries such as paragraphs, sentences, or explicit separators. This method better preserves the natural flow of text and is well-suited to prose-heavy documents.</w:t>
      </w:r>
    </w:p>
    <w:p>
      <w:pPr>
        <w:pStyle w:val="Heading2"/>
        <w:spacing w:after="100" w:before="280"/>
      </w:pPr>
      <w:r>
        <w:rPr>
          <w:rFonts w:ascii="Arial" w:cs="Arial" w:eastAsia="Arial" w:hAnsi="Arial"/>
          <w:b/>
          <w:bCs/>
          <w:color w:val="2E5FA3"/>
          <w:sz w:val="26"/>
          <w:szCs w:val="26"/>
        </w:rPr>
        <w:t xml:space="preserve">1.3  Document Structure-Based Chunking</w:t>
      </w:r>
    </w:p>
    <w:p>
      <w:pPr>
        <w:spacing w:after="60" w:before="60"/>
      </w:pPr>
      <w:r>
        <w:rPr>
          <w:rFonts w:ascii="Arial" w:cs="Arial" w:eastAsia="Arial" w:hAnsi="Arial"/>
          <w:color w:val="333333"/>
          <w:sz w:val="22"/>
          <w:szCs w:val="22"/>
        </w:rPr>
        <w:t xml:space="preserve">Leverages structural elements inherent to the document format — including headings, sections, pages, and slides — to define chunk boundaries. This is particularly effective for PDFs, DOCX files, and other structured document types.</w:t>
      </w:r>
    </w:p>
    <w:p>
      <w:pPr>
        <w:pStyle w:val="Heading2"/>
        <w:spacing w:after="100" w:before="280"/>
      </w:pPr>
      <w:r>
        <w:rPr>
          <w:rFonts w:ascii="Arial" w:cs="Arial" w:eastAsia="Arial" w:hAnsi="Arial"/>
          <w:b/>
          <w:bCs/>
          <w:color w:val="2E5FA3"/>
          <w:sz w:val="26"/>
          <w:szCs w:val="26"/>
        </w:rPr>
        <w:t xml:space="preserve">1.4  Semantic Meaning-Based Chunking</w:t>
      </w:r>
    </w:p>
    <w:p>
      <w:pPr>
        <w:spacing w:after="60" w:before="60"/>
      </w:pPr>
      <w:r>
        <w:rPr>
          <w:rFonts w:ascii="Arial" w:cs="Arial" w:eastAsia="Arial" w:hAnsi="Arial"/>
          <w:color w:val="333333"/>
          <w:sz w:val="22"/>
          <w:szCs w:val="22"/>
        </w:rPr>
        <w:t xml:space="preserve">Determines chunk boundaries by measuring semantic similarity between adjacent passages using embedding models. While this approach yields the most contextually coherent chunks, it is significantly more computationally intensive than the alternatives.</w:t>
      </w:r>
    </w:p>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2. Complex PDF Extraction</w:t>
      </w:r>
    </w:p>
    <w:p>
      <w:pPr>
        <w:spacing w:after="60" w:before="60"/>
      </w:pPr>
      <w:r>
        <w:rPr>
          <w:rFonts w:ascii="Arial" w:cs="Arial" w:eastAsia="Arial" w:hAnsi="Arial"/>
          <w:color w:val="333333"/>
          <w:sz w:val="22"/>
          <w:szCs w:val="22"/>
        </w:rPr>
        <w:t xml:space="preserve">Accurate extraction from complex PDFs — particularly those containing mixed layouts, tables, and scanned content — requires combining multiple libraries and approaches.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2.1  Document Loader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Loader</w:t>
            </w:r>
          </w:p>
        </w:tc>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PyMuPDF + pdfplumber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Effective for text-heavy PDFs and complex layouts; retrieves table content successfully.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not preserve tabular formatting during extraction.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Docling + PyMuPDF + RapidOCR</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Handles text well; successfully fetches table data in textual form.</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Tabular layout rendering remains inconsistent.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Docling (standalone)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overall performance for both tabular and textual content, including extended tables.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3. Vision Model Integration — Ollama LLaVA</w:t>
      </w:r>
    </w:p>
    <w:p>
      <w:pPr>
        <w:spacing w:after="60" w:before="60"/>
      </w:pPr>
      <w:r>
        <w:rPr>
          <w:rFonts w:ascii="Arial" w:cs="Arial" w:eastAsia="Arial" w:hAnsi="Arial"/>
          <w:color w:val="333333"/>
          <w:sz w:val="22"/>
          <w:szCs w:val="22"/>
        </w:rPr>
        <w:t xml:space="preserve">To enable semantic understanding of visual content within the RAG pipeline, image caption generation was implemented using the LLaVA (Large Language and Vision Assistant) model hosted via Ollama.</w:t>
      </w:r>
    </w:p>
    <w:p>
      <w:pPr>
        <w:spacing w:after="100" w:before="100"/>
      </w:pPr>
      <w:r>
        <w:t xml:space="preserve"/>
      </w:r>
    </w:p>
    <w:p>
      <w:pPr>
        <w:spacing w:after="60" w:before="60"/>
      </w:pPr>
      <w:r>
        <w:rPr>
          <w:rFonts w:ascii="Arial" w:cs="Arial" w:eastAsia="Arial" w:hAnsi="Arial"/>
          <w:color w:val="333333"/>
          <w:sz w:val="22"/>
          <w:szCs w:val="22"/>
        </w:rPr>
        <w:t xml:space="preserve">The model demonstrated the ability to produce detailed, contextually accurate descriptions of complex infographic imagery, identifying logos, tools, and their relationships within the AI ecosystem landscape. This capability allows visual content to be indexed and retrieved alongside textual data within the pipeline.</w:t>
      </w:r>
    </w:p>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4. Retrieval Techniques in RAG</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4.1  MMR — Maximal Marginal Relevance</w:t>
      </w:r>
    </w:p>
    <w:p>
      <w:pPr>
        <w:spacing w:after="60" w:before="60"/>
      </w:pPr>
      <w:r>
        <w:rPr>
          <w:rFonts w:ascii="Arial" w:cs="Arial" w:eastAsia="Arial" w:hAnsi="Arial"/>
          <w:color w:val="333333"/>
          <w:sz w:val="22"/>
          <w:szCs w:val="22"/>
        </w:rPr>
        <w:t xml:space="preserve">MMR is a retrieval technique designed to return results that are simultaneously relevant to the user's query and diverse from one another. It mitigates the common problem of retrieving multiple chunks that convey redundant information.</w:t>
      </w:r>
    </w:p>
    <w:p>
      <w:pPr>
        <w:spacing w:after="100" w:before="100"/>
      </w:pPr>
      <w:r>
        <w:t xml:space="preserve"/>
      </w:r>
    </w:p>
    <w:p>
      <w:pPr>
        <w:spacing w:after="60" w:before="60"/>
      </w:pPr>
      <w:r>
        <w:rPr>
          <w:rFonts w:ascii="Arial" w:cs="Arial" w:eastAsia="Arial" w:hAnsi="Arial"/>
          <w:b/>
          <w:bCs/>
          <w:color w:val="333333"/>
          <w:sz w:val="22"/>
          <w:szCs w:val="22"/>
        </w:rPr>
        <w:t xml:space="preserve">Mathematical Formulation:</w:t>
      </w:r>
    </w:p>
    <w:p>
      <w:pPr>
        <w:spacing w:after="80" w:before="80"/>
        <w:ind w:left="360"/>
      </w:pPr>
      <w:r>
        <w:rPr>
          <w:rFonts w:ascii="Arial" w:cs="Arial" w:eastAsia="Arial" w:hAnsi="Arial"/>
          <w:i/>
          <w:iCs/>
          <w:color w:val="666666"/>
          <w:sz w:val="20"/>
          <w:szCs w:val="20"/>
        </w:rPr>
        <w:t xml:space="preserve">MMR = λ · Similarity(Query, Document) − (1−λ) · Similarity(Document, SelectedDocs)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Similarity(Query, Document)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Degree to which the document is relevant to the input query.</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Similarity(Document, SelectedDocs)</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Degree of overlap with documents already selected.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λ (lambda)</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Weighting factor controlling the balance between relevance and diversity.</w:t>
            </w:r>
          </w:p>
        </w:tc>
      </w:tr>
    </w:tbl>
    <w:p>
      <w:pPr>
        <w:spacing w:after="100" w:before="100"/>
      </w:pPr>
      <w:r>
        <w:t xml:space="preserve"/>
      </w:r>
    </w:p>
    <w:p>
      <w:pPr>
        <w:spacing w:after="60" w:before="60"/>
      </w:pPr>
      <w:r>
        <w:rPr>
          <w:rFonts w:ascii="Arial" w:cs="Arial" w:eastAsia="Arial" w:hAnsi="Arial"/>
          <w:color w:val="333333"/>
          <w:sz w:val="22"/>
          <w:szCs w:val="22"/>
        </w:rPr>
        <w:t xml:space="preserve">When λ = 1, the system performs standard similarity search. When λ = 0, diversity is prioritised exclusively. A value in the range of 0.5 to 0.7 is recommended for most production use cases.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4.2  Retrieval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Retrieval Method</w:t>
            </w:r>
          </w:p>
        </w:tc>
        <w:tc>
          <w:tcPr>
            <w:tcW w:type="dxa" w:w="268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LangChain Support</w:t>
            </w:r>
          </w:p>
        </w:tc>
        <w:tc>
          <w:tcPr>
            <w:tcW w:type="dxa" w:w="268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Similarity Search</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MMR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Diversity</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Similarity Threshold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Filtered</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BM25</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Keyword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MultiQuery Retriever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Expansion</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Contextual Compression</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Chunk Filtering</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Self-Query Retriever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Search</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Parent Document Retriever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Hierarchical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Ensemble Retriever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Hybrid</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Time-Weighted Retriever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Supported</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Recency</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Hybrid Retrieval</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Partial</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BM25 + Embedding</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Cross-Encoder Reranking</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Custom Implementation</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Deep Ranking</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Retrieval</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 Custom Implementation</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Knowledge Graph</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Late Interaction</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 Custom Implementation</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Token Level</w:t>
            </w:r>
          </w:p>
        </w:tc>
      </w:tr>
    </w:tbl>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5. AI Application Architecture with LangChain</w:t>
      </w:r>
    </w:p>
    <w:p>
      <w:pPr>
        <w:spacing w:after="60" w:before="60"/>
      </w:pPr>
      <w:r>
        <w:rPr>
          <w:rFonts w:ascii="Arial" w:cs="Arial" w:eastAsia="Arial" w:hAnsi="Arial"/>
          <w:color w:val="333333"/>
          <w:sz w:val="22"/>
          <w:szCs w:val="22"/>
        </w:rPr>
        <w:t xml:space="preserve">LangChain enables the construction of AI applications that extend beyond single-prompt interactions by providing a structured system capable of reasoning, memory retention, and external tool usage. The following five pillars describe its core architectural components.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5.1  Prompt Engineering &amp; Management</w:t>
      </w:r>
    </w:p>
    <w:p>
      <w:pPr>
        <w:pStyle w:val="ListParagraph"/>
        <w:numPr>
          <w:ilvl w:val="0"/>
          <w:numId w:val="2"/>
        </w:numPr>
        <w:spacing w:after="40" w:before="40"/>
      </w:pPr>
      <w:r>
        <w:rPr>
          <w:rFonts w:ascii="Arial" w:cs="Arial" w:eastAsia="Arial" w:hAnsi="Arial"/>
          <w:b/>
          <w:bCs/>
          <w:color w:val="333333"/>
          <w:sz w:val="22"/>
          <w:szCs w:val="22"/>
        </w:rPr>
        <w:t xml:space="preserve">Prompt Templates: </w:t>
      </w:r>
      <w:r>
        <w:rPr>
          <w:rFonts w:ascii="Arial" w:cs="Arial" w:eastAsia="Arial" w:hAnsi="Arial"/>
          <w:color w:val="333333"/>
          <w:sz w:val="22"/>
          <w:szCs w:val="22"/>
        </w:rPr>
        <w:t xml:space="preserve">Reusable templates with dynamic placeholders (e.g., Translate {text} to {language}) that allow user data to be injected into a fixed instruction structure, avoiding hardcoded strings.</w:t>
      </w:r>
    </w:p>
    <w:p>
      <w:pPr>
        <w:pStyle w:val="ListParagraph"/>
        <w:numPr>
          <w:ilvl w:val="0"/>
          <w:numId w:val="2"/>
        </w:numPr>
        <w:spacing w:after="40" w:before="40"/>
      </w:pPr>
      <w:r>
        <w:rPr>
          <w:rFonts w:ascii="Arial" w:cs="Arial" w:eastAsia="Arial" w:hAnsi="Arial"/>
          <w:b/>
          <w:bCs/>
          <w:color w:val="333333"/>
          <w:sz w:val="22"/>
          <w:szCs w:val="22"/>
        </w:rPr>
        <w:t xml:space="preserve">Output Parsers: </w:t>
      </w:r>
      <w:r>
        <w:rPr>
          <w:rFonts w:ascii="Arial" w:cs="Arial" w:eastAsia="Arial" w:hAnsi="Arial"/>
          <w:color w:val="333333"/>
          <w:sz w:val="22"/>
          <w:szCs w:val="22"/>
        </w:rPr>
        <w:t xml:space="preserve">Components that constrain LLM output to a specific format such as JSON or plain string, simplifying downstream data handling.</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5.2  Multi-Step Chains</w:t>
      </w:r>
    </w:p>
    <w:p>
      <w:pPr>
        <w:pStyle w:val="ListParagraph"/>
        <w:numPr>
          <w:ilvl w:val="0"/>
          <w:numId w:val="2"/>
        </w:numPr>
        <w:spacing w:after="40" w:before="40"/>
      </w:pPr>
      <w:r>
        <w:rPr>
          <w:rFonts w:ascii="Arial" w:cs="Arial" w:eastAsia="Arial" w:hAnsi="Arial"/>
          <w:b/>
          <w:bCs/>
          <w:color w:val="333333"/>
          <w:sz w:val="22"/>
          <w:szCs w:val="22"/>
        </w:rPr>
        <w:t xml:space="preserve">Sequential Chains: </w:t>
      </w:r>
      <w:r>
        <w:rPr>
          <w:rFonts w:ascii="Arial" w:cs="Arial" w:eastAsia="Arial" w:hAnsi="Arial"/>
          <w:color w:val="333333"/>
          <w:sz w:val="22"/>
          <w:szCs w:val="22"/>
        </w:rPr>
        <w:t xml:space="preserve">Link processing steps linearly, where the output of one step (e.g., summarisation) becomes the input for the next (e.g., translation).</w:t>
      </w:r>
    </w:p>
    <w:p>
      <w:pPr>
        <w:pStyle w:val="ListParagraph"/>
        <w:numPr>
          <w:ilvl w:val="0"/>
          <w:numId w:val="2"/>
        </w:numPr>
        <w:spacing w:after="40" w:before="40"/>
      </w:pPr>
      <w:r>
        <w:rPr>
          <w:rFonts w:ascii="Arial" w:cs="Arial" w:eastAsia="Arial" w:hAnsi="Arial"/>
          <w:b/>
          <w:bCs/>
          <w:color w:val="333333"/>
          <w:sz w:val="22"/>
          <w:szCs w:val="22"/>
        </w:rPr>
        <w:t xml:space="preserve">LCEL (LangChain Expression Language): </w:t>
      </w:r>
      <w:r>
        <w:rPr>
          <w:rFonts w:ascii="Arial" w:cs="Arial" w:eastAsia="Arial" w:hAnsi="Arial"/>
          <w:color w:val="333333"/>
          <w:sz w:val="22"/>
          <w:szCs w:val="22"/>
        </w:rPr>
        <w:t xml:space="preserve">A modern, modular syntax for constructing chains using the pipe operator (|), making pipelines readable and composable.</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5.3  Tools &amp; Agents</w:t>
      </w:r>
    </w:p>
    <w:p>
      <w:pPr>
        <w:pStyle w:val="ListParagraph"/>
        <w:numPr>
          <w:ilvl w:val="0"/>
          <w:numId w:val="2"/>
        </w:numPr>
        <w:spacing w:after="40" w:before="40"/>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Functions callable by an agent, such as web search, a calculator, or a database query interface.</w:t>
      </w:r>
    </w:p>
    <w:p>
      <w:pPr>
        <w:pStyle w:val="ListParagraph"/>
        <w:numPr>
          <w:ilvl w:val="0"/>
          <w:numId w:val="2"/>
        </w:numPr>
        <w:spacing w:after="40" w:before="40"/>
      </w:pPr>
      <w:r>
        <w:rPr>
          <w:rFonts w:ascii="Arial" w:cs="Arial" w:eastAsia="Arial" w:hAnsi="Arial"/>
          <w:b/>
          <w:bCs/>
          <w:color w:val="333333"/>
          <w:sz w:val="22"/>
          <w:szCs w:val="22"/>
        </w:rPr>
        <w:t xml:space="preserve">Agents: </w:t>
      </w:r>
      <w:r>
        <w:rPr>
          <w:rFonts w:ascii="Arial" w:cs="Arial" w:eastAsia="Arial" w:hAnsi="Arial"/>
          <w:color w:val="333333"/>
          <w:sz w:val="22"/>
          <w:szCs w:val="22"/>
        </w:rPr>
        <w:t xml:space="preserve">LLM-powered reasoning engines that analyse user intent, select the appropriate tool, execute it, and iterate until the task is resolved.</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5.4  Memory Management</w:t>
      </w:r>
    </w:p>
    <w:p>
      <w:pPr>
        <w:pStyle w:val="ListParagraph"/>
        <w:numPr>
          <w:ilvl w:val="0"/>
          <w:numId w:val="2"/>
        </w:numPr>
        <w:spacing w:after="40" w:before="40"/>
      </w:pPr>
      <w:r>
        <w:rPr>
          <w:rFonts w:ascii="Arial" w:cs="Arial" w:eastAsia="Arial" w:hAnsi="Arial"/>
          <w:b/>
          <w:bCs/>
          <w:color w:val="333333"/>
          <w:sz w:val="22"/>
          <w:szCs w:val="22"/>
        </w:rPr>
        <w:t xml:space="preserve">ConversationBuffer: </w:t>
      </w:r>
      <w:r>
        <w:rPr>
          <w:rFonts w:ascii="Arial" w:cs="Arial" w:eastAsia="Arial" w:hAnsi="Arial"/>
          <w:color w:val="333333"/>
          <w:sz w:val="22"/>
          <w:szCs w:val="22"/>
        </w:rPr>
        <w:t xml:space="preserve">Stores the complete raw conversation history. Simple to implement, but may become costly and exceed token limits in extended sessions.</w:t>
      </w:r>
    </w:p>
    <w:p>
      <w:pPr>
        <w:pStyle w:val="ListParagraph"/>
        <w:numPr>
          <w:ilvl w:val="0"/>
          <w:numId w:val="2"/>
        </w:numPr>
        <w:spacing w:after="40" w:before="40"/>
      </w:pPr>
      <w:r>
        <w:rPr>
          <w:rFonts w:ascii="Arial" w:cs="Arial" w:eastAsia="Arial" w:hAnsi="Arial"/>
          <w:b/>
          <w:bCs/>
          <w:color w:val="333333"/>
          <w:sz w:val="22"/>
          <w:szCs w:val="22"/>
        </w:rPr>
        <w:t xml:space="preserve">EntityMemory: </w:t>
      </w:r>
      <w:r>
        <w:rPr>
          <w:rFonts w:ascii="Arial" w:cs="Arial" w:eastAsia="Arial" w:hAnsi="Arial"/>
          <w:color w:val="333333"/>
          <w:sz w:val="22"/>
          <w:szCs w:val="22"/>
        </w:rPr>
        <w:t xml:space="preserve">Extracts and retains specific facts about named entities (e.g., people, locations, organisations), enabling precise recall without requiring full transcript storage.</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5.5  Custom Tools</w:t>
      </w:r>
    </w:p>
    <w:p>
      <w:pPr>
        <w:pStyle w:val="ListParagraph"/>
        <w:numPr>
          <w:ilvl w:val="0"/>
          <w:numId w:val="2"/>
        </w:numPr>
        <w:spacing w:after="40" w:before="40"/>
      </w:pPr>
      <w:r>
        <w:rPr>
          <w:rFonts w:ascii="Arial" w:cs="Arial" w:eastAsia="Arial" w:hAnsi="Arial"/>
          <w:b/>
          <w:bCs/>
          <w:color w:val="333333"/>
          <w:sz w:val="22"/>
          <w:szCs w:val="22"/>
        </w:rPr>
        <w:t xml:space="preserve">Definition: </w:t>
      </w:r>
      <w:r>
        <w:rPr>
          <w:rFonts w:ascii="Arial" w:cs="Arial" w:eastAsia="Arial" w:hAnsi="Arial"/>
          <w:color w:val="333333"/>
          <w:sz w:val="22"/>
          <w:szCs w:val="22"/>
        </w:rPr>
        <w:t xml:space="preserve">Any Python function — including proprietary business logic or internal API calls — can be wrapped as a LangChain Tool.</w:t>
      </w:r>
    </w:p>
    <w:p>
      <w:pPr>
        <w:pStyle w:val="ListParagraph"/>
        <w:numPr>
          <w:ilvl w:val="0"/>
          <w:numId w:val="2"/>
        </w:numPr>
        <w:spacing w:after="40" w:before="40"/>
      </w:pPr>
      <w:r>
        <w:rPr>
          <w:rFonts w:ascii="Arial" w:cs="Arial" w:eastAsia="Arial" w:hAnsi="Arial"/>
          <w:b/>
          <w:bCs/>
          <w:color w:val="333333"/>
          <w:sz w:val="22"/>
          <w:szCs w:val="22"/>
        </w:rPr>
        <w:t xml:space="preserve">Usage: </w:t>
      </w:r>
      <w:r>
        <w:rPr>
          <w:rFonts w:ascii="Arial" w:cs="Arial" w:eastAsia="Arial" w:hAnsi="Arial"/>
          <w:color w:val="333333"/>
          <w:sz w:val="22"/>
          <w:szCs w:val="22"/>
        </w:rPr>
        <w:t xml:space="preserve">Once registered with an Agent, the tool becomes available for the agent to invoke autonomously when a user's request requires that capability.</w:t>
      </w:r>
    </w:p>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6. Memory Management Sub-Categories</w:t>
      </w:r>
    </w:p>
    <w:p>
      <w:pPr>
        <w:spacing w:after="60" w:before="60"/>
      </w:pPr>
      <w:r>
        <w:rPr>
          <w:rFonts w:ascii="Arial" w:cs="Arial" w:eastAsia="Arial" w:hAnsi="Arial"/>
          <w:color w:val="333333"/>
          <w:sz w:val="22"/>
          <w:szCs w:val="22"/>
        </w:rPr>
        <w:t xml:space="preserve">Memory Management in LangChain allows stateless LLMs to maintain contextual awareness across interactions. Two primary paradigms exist: buffer-based memory, which stores raw conversational history, and fact-based memory, which stores structured knowledge.</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6.1  Conversation Buffer Memory (Raw History)</w:t>
      </w:r>
    </w:p>
    <w:p>
      <w:pPr>
        <w:spacing w:after="60" w:before="60"/>
      </w:pPr>
      <w:r>
        <w:rPr>
          <w:rFonts w:ascii="Arial" w:cs="Arial" w:eastAsia="Arial" w:hAnsi="Arial"/>
          <w:color w:val="333333"/>
          <w:sz w:val="22"/>
          <w:szCs w:val="22"/>
        </w:rPr>
        <w:t xml:space="preserve">Best suited for short, high-precision conversations where exact phrasing of previous turns is critical.</w:t>
      </w:r>
    </w:p>
    <w:p>
      <w:pPr>
        <w:spacing w:after="100" w:before="10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Conversation Buffer Memory: </w:t>
      </w:r>
      <w:r>
        <w:rPr>
          <w:rFonts w:ascii="Arial" w:cs="Arial" w:eastAsia="Arial" w:hAnsi="Arial"/>
          <w:color w:val="333333"/>
          <w:sz w:val="22"/>
          <w:szCs w:val="22"/>
        </w:rPr>
        <w:t xml:space="preserve">Retains the full conversation history. Provides maximum context but risks exceeding token limits in long sessions.</w:t>
      </w:r>
    </w:p>
    <w:p>
      <w:pPr>
        <w:pStyle w:val="ListParagraph"/>
        <w:numPr>
          <w:ilvl w:val="0"/>
          <w:numId w:val="2"/>
        </w:numPr>
        <w:spacing w:after="40" w:before="40"/>
      </w:pPr>
      <w:r>
        <w:rPr>
          <w:rFonts w:ascii="Arial" w:cs="Arial" w:eastAsia="Arial" w:hAnsi="Arial"/>
          <w:b/>
          <w:bCs/>
          <w:color w:val="333333"/>
          <w:sz w:val="22"/>
          <w:szCs w:val="22"/>
        </w:rPr>
        <w:t xml:space="preserve">Conversation Buffer Window Memory: </w:t>
      </w:r>
      <w:r>
        <w:rPr>
          <w:rFonts w:ascii="Arial" w:cs="Arial" w:eastAsia="Arial" w:hAnsi="Arial"/>
          <w:color w:val="333333"/>
          <w:sz w:val="22"/>
          <w:szCs w:val="22"/>
        </w:rPr>
        <w:t xml:space="preserve">Maintains only the most recent N interactions using a sliding window; older messages are discarded automatically.</w:t>
      </w:r>
    </w:p>
    <w:p>
      <w:pPr>
        <w:pStyle w:val="ListParagraph"/>
        <w:numPr>
          <w:ilvl w:val="0"/>
          <w:numId w:val="2"/>
        </w:numPr>
        <w:spacing w:after="40" w:before="40"/>
      </w:pPr>
      <w:r>
        <w:rPr>
          <w:rFonts w:ascii="Arial" w:cs="Arial" w:eastAsia="Arial" w:hAnsi="Arial"/>
          <w:b/>
          <w:bCs/>
          <w:color w:val="333333"/>
          <w:sz w:val="22"/>
          <w:szCs w:val="22"/>
        </w:rPr>
        <w:t xml:space="preserve">Conversation Token Buffer Memory: </w:t>
      </w:r>
      <w:r>
        <w:rPr>
          <w:rFonts w:ascii="Arial" w:cs="Arial" w:eastAsia="Arial" w:hAnsi="Arial"/>
          <w:color w:val="333333"/>
          <w:sz w:val="22"/>
          <w:szCs w:val="22"/>
        </w:rPr>
        <w:t xml:space="preserve">Prunes history based on a strict token limit rather than by number of turns.</w:t>
      </w:r>
    </w:p>
    <w:p>
      <w:pPr>
        <w:pStyle w:val="ListParagraph"/>
        <w:numPr>
          <w:ilvl w:val="0"/>
          <w:numId w:val="2"/>
        </w:numPr>
        <w:spacing w:after="40" w:before="40"/>
      </w:pPr>
      <w:r>
        <w:rPr>
          <w:rFonts w:ascii="Arial" w:cs="Arial" w:eastAsia="Arial" w:hAnsi="Arial"/>
          <w:b/>
          <w:bCs/>
          <w:color w:val="333333"/>
          <w:sz w:val="22"/>
          <w:szCs w:val="22"/>
        </w:rPr>
        <w:t xml:space="preserve">Conversation Summary Memory: </w:t>
      </w:r>
      <w:r>
        <w:rPr>
          <w:rFonts w:ascii="Arial" w:cs="Arial" w:eastAsia="Arial" w:hAnsi="Arial"/>
          <w:color w:val="333333"/>
          <w:sz w:val="22"/>
          <w:szCs w:val="22"/>
        </w:rPr>
        <w:t xml:space="preserve">Maintains a running LLM-generated summary of the conversation — highly efficient for extended interactions.</w:t>
      </w:r>
    </w:p>
    <w:p>
      <w:pPr>
        <w:pStyle w:val="ListParagraph"/>
        <w:numPr>
          <w:ilvl w:val="0"/>
          <w:numId w:val="2"/>
        </w:numPr>
        <w:spacing w:after="40" w:before="40"/>
      </w:pPr>
      <w:r>
        <w:rPr>
          <w:rFonts w:ascii="Arial" w:cs="Arial" w:eastAsia="Arial" w:hAnsi="Arial"/>
          <w:b/>
          <w:bCs/>
          <w:color w:val="333333"/>
          <w:sz w:val="22"/>
          <w:szCs w:val="22"/>
        </w:rPr>
        <w:t xml:space="preserve">Conversation Summary Buffer Memory: </w:t>
      </w:r>
      <w:r>
        <w:rPr>
          <w:rFonts w:ascii="Arial" w:cs="Arial" w:eastAsia="Arial" w:hAnsi="Arial"/>
          <w:color w:val="333333"/>
          <w:sz w:val="22"/>
          <w:szCs w:val="22"/>
        </w:rPr>
        <w:t xml:space="preserve">A hybrid approach that retains recent messages as raw text while summarising older history into a single condensed block.</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6.2  Entity Memory (Fact-Based)</w:t>
      </w:r>
    </w:p>
    <w:p>
      <w:pPr>
        <w:spacing w:after="60" w:before="60"/>
      </w:pPr>
      <w:r>
        <w:rPr>
          <w:rFonts w:ascii="Arial" w:cs="Arial" w:eastAsia="Arial" w:hAnsi="Arial"/>
          <w:color w:val="333333"/>
          <w:sz w:val="22"/>
          <w:szCs w:val="22"/>
        </w:rPr>
        <w:t xml:space="preserve">Rather than preserving a transcript, Entity Memory extracts and stores discrete facts about identifiable entities, enabling precise recall without relying on raw history.</w:t>
      </w:r>
    </w:p>
    <w:p>
      <w:pPr>
        <w:spacing w:after="100" w:before="10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Conversation Entity Memory: </w:t>
      </w:r>
      <w:r>
        <w:rPr>
          <w:rFonts w:ascii="Arial" w:cs="Arial" w:eastAsia="Arial" w:hAnsi="Arial"/>
          <w:color w:val="333333"/>
          <w:sz w:val="22"/>
          <w:szCs w:val="22"/>
        </w:rPr>
        <w:t xml:space="preserve">Identifies entities in real time and constructs a structured knowledge profile for each.</w:t>
      </w:r>
    </w:p>
    <w:p>
      <w:pPr>
        <w:pStyle w:val="ListParagraph"/>
        <w:numPr>
          <w:ilvl w:val="0"/>
          <w:numId w:val="2"/>
        </w:numPr>
        <w:spacing w:after="40" w:before="40"/>
      </w:pPr>
      <w:r>
        <w:rPr>
          <w:rFonts w:ascii="Arial" w:cs="Arial" w:eastAsia="Arial" w:hAnsi="Arial"/>
          <w:b/>
          <w:bCs/>
          <w:color w:val="333333"/>
          <w:sz w:val="22"/>
          <w:szCs w:val="22"/>
        </w:rPr>
        <w:t xml:space="preserve">Conversation Knowledge Graph Memory: </w:t>
      </w:r>
      <w:r>
        <w:rPr>
          <w:rFonts w:ascii="Arial" w:cs="Arial" w:eastAsia="Arial" w:hAnsi="Arial"/>
          <w:color w:val="333333"/>
          <w:sz w:val="22"/>
          <w:szCs w:val="22"/>
        </w:rPr>
        <w:t xml:space="preserve">Stores information as a relational network (e.g., Sam → works with → Alex), enabling sophisticated multi-hop reasoning.</w:t>
      </w:r>
    </w:p>
    <w:p>
      <w:pPr>
        <w:pStyle w:val="ListParagraph"/>
        <w:numPr>
          <w:ilvl w:val="0"/>
          <w:numId w:val="2"/>
        </w:numPr>
        <w:spacing w:after="40" w:before="40"/>
      </w:pPr>
      <w:r>
        <w:rPr>
          <w:rFonts w:ascii="Arial" w:cs="Arial" w:eastAsia="Arial" w:hAnsi="Arial"/>
          <w:b/>
          <w:bCs/>
          <w:color w:val="333333"/>
          <w:sz w:val="22"/>
          <w:szCs w:val="22"/>
        </w:rPr>
        <w:t xml:space="preserve">VectorStore-Retriever Memory: </w:t>
      </w:r>
      <w:r>
        <w:rPr>
          <w:rFonts w:ascii="Arial" w:cs="Arial" w:eastAsia="Arial" w:hAnsi="Arial"/>
          <w:color w:val="333333"/>
          <w:sz w:val="22"/>
          <w:szCs w:val="22"/>
        </w:rPr>
        <w:t xml:space="preserve">Stores history as vector embeddings; retrieves only the most semantically relevant past facts via similarity search at query time.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Recommendation</w:t>
            </w:r>
          </w:p>
          <w:p>
            <w:pPr>
              <w:spacing w:after="0" w:before="0"/>
            </w:pPr>
            <w:r>
              <w:rPr>
                <w:rFonts w:ascii="Arial" w:cs="Arial" w:eastAsia="Arial" w:hAnsi="Arial"/>
                <w:i/>
                <w:iCs/>
                <w:color w:val="333333"/>
                <w:sz w:val="20"/>
                <w:szCs w:val="20"/>
              </w:rPr>
              <w:t xml:space="preserve">Use Conversation Buffer Window Memory for simple chatbots to minimise cost. Use Entity Memory or Knowledge Graph Memory for complex assistants requiring long-term retention of specific user details.</w:t>
            </w:r>
          </w:p>
        </w:tc>
      </w:tr>
    </w:tbl>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7. Database Architecture for Medical RAG (Cancer Care POC)</w:t>
      </w:r>
    </w:p>
    <w:p>
      <w:pPr>
        <w:spacing w:after="60" w:before="60"/>
      </w:pPr>
      <w:r>
        <w:rPr>
          <w:rFonts w:ascii="Arial" w:cs="Arial" w:eastAsia="Arial" w:hAnsi="Arial"/>
          <w:color w:val="333333"/>
          <w:sz w:val="22"/>
          <w:szCs w:val="22"/>
        </w:rPr>
        <w:t xml:space="preserve">A medical chatbot specialising in oncology must handle three distinct data streams: static knowledge (general cancer information), dynamic patient data (uploaded reports), and conversation state (cross-questioning history). The following three-tier architecture is recommended.</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7.1  Core Database Architecture</w:t>
      </w:r>
    </w:p>
    <w:p>
      <w:pPr>
        <w:pStyle w:val="ListParagraph"/>
        <w:numPr>
          <w:ilvl w:val="0"/>
          <w:numId w:val="2"/>
        </w:numPr>
        <w:spacing w:after="40" w:before="40"/>
      </w:pPr>
      <w:r>
        <w:rPr>
          <w:rFonts w:ascii="Arial" w:cs="Arial" w:eastAsia="Arial" w:hAnsi="Arial"/>
          <w:b/>
          <w:bCs/>
          <w:color w:val="333333"/>
          <w:sz w:val="22"/>
          <w:szCs w:val="22"/>
        </w:rPr>
        <w:t xml:space="preserve">Knowledge Vector Database (e.g., Milvus, Qdrant): </w:t>
      </w:r>
      <w:r>
        <w:rPr>
          <w:rFonts w:ascii="Arial" w:cs="Arial" w:eastAsia="Arial" w:hAnsi="Arial"/>
          <w:color w:val="333333"/>
          <w:sz w:val="22"/>
          <w:szCs w:val="22"/>
        </w:rPr>
        <w:t xml:space="preserve">Stores chunked general medical knowledge, research papers, and treatment guidelines. Used for semantic search when answering general queries in the absence of an uploaded report.</w:t>
      </w:r>
    </w:p>
    <w:p>
      <w:pPr>
        <w:pStyle w:val="ListParagraph"/>
        <w:numPr>
          <w:ilvl w:val="0"/>
          <w:numId w:val="2"/>
        </w:numPr>
        <w:spacing w:after="40" w:before="40"/>
      </w:pPr>
      <w:r>
        <w:rPr>
          <w:rFonts w:ascii="Arial" w:cs="Arial" w:eastAsia="Arial" w:hAnsi="Arial"/>
          <w:b/>
          <w:bCs/>
          <w:color w:val="333333"/>
          <w:sz w:val="22"/>
          <w:szCs w:val="22"/>
        </w:rPr>
        <w:t xml:space="preserve">Ephemeral Session Vector Store (e.g., ChromaDB, FAISS): </w:t>
      </w:r>
      <w:r>
        <w:rPr>
          <w:rFonts w:ascii="Arial" w:cs="Arial" w:eastAsia="Arial" w:hAnsi="Arial"/>
          <w:color w:val="333333"/>
          <w:sz w:val="22"/>
          <w:szCs w:val="22"/>
        </w:rPr>
        <w:t xml:space="preserve">Temporarily stores vectorised chunks from a specific patient's uploaded report, tagged with a session_id. Vectors are deleted upon session termination to maintain strict data privacy.</w:t>
      </w:r>
    </w:p>
    <w:p>
      <w:pPr>
        <w:pStyle w:val="ListParagraph"/>
        <w:numPr>
          <w:ilvl w:val="0"/>
          <w:numId w:val="2"/>
        </w:numPr>
        <w:spacing w:after="40" w:before="40"/>
      </w:pPr>
      <w:r>
        <w:rPr>
          <w:rFonts w:ascii="Arial" w:cs="Arial" w:eastAsia="Arial" w:hAnsi="Arial"/>
          <w:b/>
          <w:bCs/>
          <w:color w:val="333333"/>
          <w:sz w:val="22"/>
          <w:szCs w:val="22"/>
        </w:rPr>
        <w:t xml:space="preserve">Persistent Chat Memory (e.g., Redis, DynamoDB): </w:t>
      </w:r>
      <w:r>
        <w:rPr>
          <w:rFonts w:ascii="Arial" w:cs="Arial" w:eastAsia="Arial" w:hAnsi="Arial"/>
          <w:color w:val="333333"/>
          <w:sz w:val="22"/>
          <w:szCs w:val="22"/>
        </w:rPr>
        <w:t xml:space="preserve">Stores the literal conversation history to support cross-questioning (e.g., referencing a term used in a prior answer). Redis is preferred for its high-speed session tracking capability.</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7.2  User Scenario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120"/>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Database Used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Analysis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User-uploaded PDF or Image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Ephemeral Vector Store (Report Chunks)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Cross-Questioning</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Previous Chat Turns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Redis / DynamoDB (Conversation History)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Queries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Guidelines / FAQs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Knowledge Vector DB (Global Cancer Data)</w:t>
            </w:r>
          </w:p>
        </w:tc>
      </w:tr>
    </w:tbl>
    <w:p>
      <w:pPr>
        <w:spacing w:after="100" w:before="100"/>
      </w:pPr>
      <w:r>
        <w:t xml:space="preserve"/>
      </w:r>
    </w:p>
    <w:p>
      <w:pPr>
        <w:pStyle w:val="Heading2"/>
        <w:spacing w:after="100" w:before="280"/>
      </w:pPr>
      <w:r>
        <w:rPr>
          <w:rFonts w:ascii="Arial" w:cs="Arial" w:eastAsia="Arial" w:hAnsi="Arial"/>
          <w:b/>
          <w:bCs/>
          <w:color w:val="2E5FA3"/>
          <w:sz w:val="26"/>
          <w:szCs w:val="26"/>
        </w:rPr>
        <w:t xml:space="preserve">7.3  Critical Medical &amp; Privacy Considerations</w:t>
      </w:r>
    </w:p>
    <w:p>
      <w:pPr>
        <w:pStyle w:val="ListParagraph"/>
        <w:numPr>
          <w:ilvl w:val="0"/>
          <w:numId w:val="2"/>
        </w:numPr>
        <w:spacing w:after="40" w:before="40"/>
      </w:pPr>
      <w:r>
        <w:rPr>
          <w:rFonts w:ascii="Arial" w:cs="Arial" w:eastAsia="Arial" w:hAnsi="Arial"/>
          <w:b/>
          <w:bCs/>
          <w:color w:val="333333"/>
          <w:sz w:val="22"/>
          <w:szCs w:val="22"/>
        </w:rPr>
        <w:t xml:space="preserve">Metadata Filtering: </w:t>
      </w:r>
      <w:r>
        <w:rPr>
          <w:rFonts w:ascii="Arial" w:cs="Arial" w:eastAsia="Arial" w:hAnsi="Arial"/>
          <w:color w:val="333333"/>
          <w:sz w:val="22"/>
          <w:szCs w:val="22"/>
        </w:rPr>
        <w:t xml:space="preserve">Tag knowledge base entries by cancer type (e.g., type: lung_cancer) to prevent irrelevant cross-domain retrieval.</w:t>
      </w:r>
    </w:p>
    <w:p>
      <w:pPr>
        <w:pStyle w:val="ListParagraph"/>
        <w:numPr>
          <w:ilvl w:val="0"/>
          <w:numId w:val="2"/>
        </w:numPr>
        <w:spacing w:after="40" w:before="40"/>
      </w:pPr>
      <w:r>
        <w:rPr>
          <w:rFonts w:ascii="Arial" w:cs="Arial" w:eastAsia="Arial" w:hAnsi="Arial"/>
          <w:b/>
          <w:bCs/>
          <w:color w:val="333333"/>
          <w:sz w:val="22"/>
          <w:szCs w:val="22"/>
        </w:rPr>
        <w:t xml:space="preserve">Data Isolation: </w:t>
      </w:r>
      <w:r>
        <w:rPr>
          <w:rFonts w:ascii="Arial" w:cs="Arial" w:eastAsia="Arial" w:hAnsi="Arial"/>
          <w:color w:val="333333"/>
          <w:sz w:val="22"/>
          <w:szCs w:val="22"/>
        </w:rPr>
        <w:t xml:space="preserve">Never co-mingle different patients' report data within the same index. Use namespace partitioning or separate collections in Milvus or Qdrant to ensure strict data isolation.</w:t>
      </w:r>
    </w:p>
    <w:p>
      <w:pPr>
        <w:pStyle w:val="ListParagraph"/>
        <w:numPr>
          <w:ilvl w:val="0"/>
          <w:numId w:val="2"/>
        </w:numPr>
        <w:spacing w:after="40" w:before="40"/>
      </w:pPr>
      <w:r>
        <w:rPr>
          <w:rFonts w:ascii="Arial" w:cs="Arial" w:eastAsia="Arial" w:hAnsi="Arial"/>
          <w:b/>
          <w:bCs/>
          <w:color w:val="333333"/>
          <w:sz w:val="22"/>
          <w:szCs w:val="22"/>
        </w:rPr>
        <w:t xml:space="preserve">PII Stripping: </w:t>
      </w:r>
      <w:r>
        <w:rPr>
          <w:rFonts w:ascii="Arial" w:cs="Arial" w:eastAsia="Arial" w:hAnsi="Arial"/>
          <w:color w:val="333333"/>
          <w:sz w:val="22"/>
          <w:szCs w:val="22"/>
        </w:rPr>
        <w:t xml:space="preserve">Apply a de-identification layer to all stored data prior to persistence in Redis or any external database, in compliance with HIPAA and GDPR regulations.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7.4  Recommended Technology Stack</w:t>
      </w:r>
    </w:p>
    <w:p>
      <w:pPr>
        <w:pStyle w:val="ListParagraph"/>
        <w:numPr>
          <w:ilvl w:val="0"/>
          <w:numId w:val="2"/>
        </w:numPr>
        <w:spacing w:after="40" w:before="40"/>
      </w:pPr>
      <w:r>
        <w:rPr>
          <w:rFonts w:ascii="Arial" w:cs="Arial" w:eastAsia="Arial" w:hAnsi="Arial"/>
          <w:b/>
          <w:bCs/>
          <w:color w:val="333333"/>
          <w:sz w:val="22"/>
          <w:szCs w:val="22"/>
        </w:rPr>
        <w:t xml:space="preserve">Orchestration: </w:t>
      </w:r>
      <w:r>
        <w:rPr>
          <w:rFonts w:ascii="Arial" w:cs="Arial" w:eastAsia="Arial" w:hAnsi="Arial"/>
          <w:color w:val="333333"/>
          <w:sz w:val="22"/>
          <w:szCs w:val="22"/>
        </w:rPr>
        <w:t xml:space="preserve">LangChain or LangGraph for managing routing logic between report-based and general query flows.</w:t>
      </w:r>
    </w:p>
    <w:p>
      <w:pPr>
        <w:pStyle w:val="ListParagraph"/>
        <w:numPr>
          <w:ilvl w:val="0"/>
          <w:numId w:val="2"/>
        </w:numPr>
        <w:spacing w:after="40" w:before="40"/>
      </w:pPr>
      <w:r>
        <w:rPr>
          <w:rFonts w:ascii="Arial" w:cs="Arial" w:eastAsia="Arial" w:hAnsi="Arial"/>
          <w:b/>
          <w:bCs/>
          <w:color w:val="333333"/>
          <w:sz w:val="22"/>
          <w:szCs w:val="22"/>
        </w:rPr>
        <w:t xml:space="preserve">Vector Database: </w:t>
      </w:r>
      <w:r>
        <w:rPr>
          <w:rFonts w:ascii="Arial" w:cs="Arial" w:eastAsia="Arial" w:hAnsi="Arial"/>
          <w:color w:val="333333"/>
          <w:sz w:val="22"/>
          <w:szCs w:val="22"/>
        </w:rPr>
        <w:t xml:space="preserve">Milvus (enterprise scale) or Qdrant (high-speed benchmarks) for the primary knowledge base.</w:t>
      </w:r>
    </w:p>
    <w:p>
      <w:pPr>
        <w:pStyle w:val="ListParagraph"/>
        <w:numPr>
          <w:ilvl w:val="0"/>
          <w:numId w:val="2"/>
        </w:numPr>
        <w:spacing w:after="40" w:before="40"/>
      </w:pPr>
      <w:r>
        <w:rPr>
          <w:rFonts w:ascii="Arial" w:cs="Arial" w:eastAsia="Arial" w:hAnsi="Arial"/>
          <w:b/>
          <w:bCs/>
          <w:color w:val="333333"/>
          <w:sz w:val="22"/>
          <w:szCs w:val="22"/>
        </w:rPr>
        <w:t xml:space="preserve">Session Memory: </w:t>
      </w:r>
      <w:r>
        <w:rPr>
          <w:rFonts w:ascii="Arial" w:cs="Arial" w:eastAsia="Arial" w:hAnsi="Arial"/>
          <w:color w:val="333333"/>
          <w:sz w:val="22"/>
          <w:szCs w:val="22"/>
        </w:rPr>
        <w:t xml:space="preserve">Redis for fast, reliable session state management.</w:t>
      </w:r>
    </w:p>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8. Handling Repetitive User Queries</w:t>
      </w:r>
    </w:p>
    <w:p>
      <w:pPr>
        <w:spacing w:after="60" w:before="60"/>
      </w:pPr>
      <w:r>
        <w:rPr>
          <w:rFonts w:ascii="Arial" w:cs="Arial" w:eastAsia="Arial" w:hAnsi="Arial"/>
          <w:color w:val="333333"/>
          <w:sz w:val="22"/>
          <w:szCs w:val="22"/>
        </w:rPr>
        <w:t xml:space="preserve">When a user repeats a question, three primary strategies are available. The optimal choice depends on the priorities of the system — cost efficiency, user experience, or clinical accuracy.</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8.1  The Cache Strategy (Cost Efficiency)</w:t>
      </w:r>
    </w:p>
    <w:p>
      <w:pPr>
        <w:spacing w:after="60" w:before="60"/>
      </w:pPr>
      <w:r>
        <w:rPr>
          <w:rFonts w:ascii="Arial" w:cs="Arial" w:eastAsia="Arial" w:hAnsi="Arial"/>
          <w:color w:val="333333"/>
          <w:sz w:val="22"/>
          <w:szCs w:val="22"/>
        </w:rPr>
        <w:t xml:space="preserve">Prior to forwarding the request to the LLM, the system performs a semantic similarity check against previous queries using tools such as Redis VL or GPTCache. If the cosine similarity exceeds 0.95, the cached response is returned immediately.</w:t>
      </w:r>
    </w:p>
    <w:p>
      <w:pPr>
        <w:pStyle w:val="ListParagraph"/>
        <w:numPr>
          <w:ilvl w:val="0"/>
          <w:numId w:val="2"/>
        </w:numPr>
        <w:spacing w:after="40" w:before="40"/>
      </w:pPr>
      <w:r>
        <w:rPr>
          <w:rFonts w:ascii="Arial" w:cs="Arial" w:eastAsia="Arial" w:hAnsi="Arial"/>
          <w:b/>
          <w:bCs/>
          <w:color w:val="333333"/>
          <w:sz w:val="22"/>
          <w:szCs w:val="22"/>
        </w:rPr>
        <w:t xml:space="preserve">Advantage: </w:t>
      </w:r>
      <w:r>
        <w:rPr>
          <w:rFonts w:ascii="Arial" w:cs="Arial" w:eastAsia="Arial" w:hAnsi="Arial"/>
          <w:color w:val="333333"/>
          <w:sz w:val="22"/>
          <w:szCs w:val="22"/>
        </w:rPr>
        <w:t xml:space="preserve">Instant response at zero LLM cost.</w:t>
      </w:r>
    </w:p>
    <w:p>
      <w:pPr>
        <w:pStyle w:val="ListParagraph"/>
        <w:numPr>
          <w:ilvl w:val="0"/>
          <w:numId w:val="2"/>
        </w:numPr>
        <w:spacing w:after="40" w:before="40"/>
      </w:pPr>
      <w:r>
        <w:rPr>
          <w:rFonts w:ascii="Arial" w:cs="Arial" w:eastAsia="Arial" w:hAnsi="Arial"/>
          <w:b/>
          <w:bCs/>
          <w:color w:val="333333"/>
          <w:sz w:val="22"/>
          <w:szCs w:val="22"/>
        </w:rPr>
        <w:t xml:space="preserve">Limitation: </w:t>
      </w:r>
      <w:r>
        <w:rPr>
          <w:rFonts w:ascii="Arial" w:cs="Arial" w:eastAsia="Arial" w:hAnsi="Arial"/>
          <w:color w:val="333333"/>
          <w:sz w:val="22"/>
          <w:szCs w:val="22"/>
        </w:rPr>
        <w:t xml:space="preserve">Cached responses may become stale if the patient's report is updated during the session.</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8.2  The Reframing Strategy (Enhanced User Experience)</w:t>
      </w:r>
    </w:p>
    <w:p>
      <w:pPr>
        <w:spacing w:after="60" w:before="60"/>
      </w:pPr>
      <w:r>
        <w:rPr>
          <w:rFonts w:ascii="Arial" w:cs="Arial" w:eastAsia="Arial" w:hAnsi="Arial"/>
          <w:color w:val="333333"/>
          <w:sz w:val="22"/>
          <w:szCs w:val="22"/>
        </w:rPr>
        <w:t xml:space="preserve">The system prompt instructs the LLM that, upon detecting a repeated question, it should not reproduce the original answer verbatim. Instead, it should rephrase the explanation using simpler language or an alternative analogy, drawing on the conversation buffer for context.</w:t>
      </w:r>
    </w:p>
    <w:p>
      <w:pPr>
        <w:pStyle w:val="ListParagraph"/>
        <w:numPr>
          <w:ilvl w:val="0"/>
          <w:numId w:val="2"/>
        </w:numPr>
        <w:spacing w:after="40" w:before="40"/>
      </w:pPr>
      <w:r>
        <w:rPr>
          <w:rFonts w:ascii="Arial" w:cs="Arial" w:eastAsia="Arial" w:hAnsi="Arial"/>
          <w:b/>
          <w:bCs/>
          <w:color w:val="333333"/>
          <w:sz w:val="22"/>
          <w:szCs w:val="22"/>
        </w:rPr>
        <w:t xml:space="preserve">Advantage: </w:t>
      </w:r>
      <w:r>
        <w:rPr>
          <w:rFonts w:ascii="Arial" w:cs="Arial" w:eastAsia="Arial" w:hAnsi="Arial"/>
          <w:color w:val="333333"/>
          <w:sz w:val="22"/>
          <w:szCs w:val="22"/>
        </w:rPr>
        <w:t xml:space="preserve">Provides a more human, empathetic interaction for patients who did not understand the initial response.</w:t>
      </w:r>
    </w:p>
    <w:p>
      <w:pPr>
        <w:pStyle w:val="ListParagraph"/>
        <w:numPr>
          <w:ilvl w:val="0"/>
          <w:numId w:val="2"/>
        </w:numPr>
        <w:spacing w:after="40" w:before="40"/>
      </w:pPr>
      <w:r>
        <w:rPr>
          <w:rFonts w:ascii="Arial" w:cs="Arial" w:eastAsia="Arial" w:hAnsi="Arial"/>
          <w:b/>
          <w:bCs/>
          <w:color w:val="333333"/>
          <w:sz w:val="22"/>
          <w:szCs w:val="22"/>
        </w:rPr>
        <w:t xml:space="preserve">Limitation: </w:t>
      </w:r>
      <w:r>
        <w:rPr>
          <w:rFonts w:ascii="Arial" w:cs="Arial" w:eastAsia="Arial" w:hAnsi="Arial"/>
          <w:color w:val="333333"/>
          <w:sz w:val="22"/>
          <w:szCs w:val="22"/>
        </w:rPr>
        <w:t xml:space="preserve">Incurs full LLM cost on every repeated query.</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8.3  The Validation Strategy (Medical Accuracy)</w:t>
      </w:r>
    </w:p>
    <w:p>
      <w:pPr>
        <w:spacing w:after="60" w:before="60"/>
      </w:pPr>
      <w:r>
        <w:rPr>
          <w:rFonts w:ascii="Arial" w:cs="Arial" w:eastAsia="Arial" w:hAnsi="Arial"/>
          <w:color w:val="333333"/>
          <w:sz w:val="22"/>
          <w:szCs w:val="22"/>
        </w:rPr>
        <w:t xml:space="preserve">A router or lightweight model (e.g., Llama-3-8B) detects the repetition and prepends an acknowledgement to the response — for example: "As mentioned earlier, your report indicates... To clarify further, this means..."</w:t>
      </w:r>
    </w:p>
    <w:p>
      <w:pPr>
        <w:pStyle w:val="ListParagraph"/>
        <w:numPr>
          <w:ilvl w:val="0"/>
          <w:numId w:val="2"/>
        </w:numPr>
        <w:spacing w:after="40" w:before="40"/>
      </w:pPr>
      <w:r>
        <w:rPr>
          <w:rFonts w:ascii="Arial" w:cs="Arial" w:eastAsia="Arial" w:hAnsi="Arial"/>
          <w:b/>
          <w:bCs/>
          <w:color w:val="333333"/>
          <w:sz w:val="22"/>
          <w:szCs w:val="22"/>
        </w:rPr>
        <w:t xml:space="preserve">Advantage: </w:t>
      </w:r>
      <w:r>
        <w:rPr>
          <w:rFonts w:ascii="Arial" w:cs="Arial" w:eastAsia="Arial" w:hAnsi="Arial"/>
          <w:color w:val="333333"/>
          <w:sz w:val="22"/>
          <w:szCs w:val="22"/>
        </w:rPr>
        <w:t xml:space="preserve">Maintains a professional clinical presence and confirms the user has been heard.</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8.4  Recommended Medical Architecture for Repetition Handling</w:t>
      </w:r>
    </w:p>
    <w:p>
      <w:pPr>
        <w:pStyle w:val="ListParagraph"/>
        <w:numPr>
          <w:ilvl w:val="0"/>
          <w:numId w:val="2"/>
        </w:numPr>
        <w:spacing w:after="40" w:before="40"/>
      </w:pPr>
      <w:r>
        <w:rPr>
          <w:rFonts w:ascii="Arial" w:cs="Arial" w:eastAsia="Arial" w:hAnsi="Arial"/>
          <w:color w:val="333333"/>
          <w:sz w:val="22"/>
          <w:szCs w:val="22"/>
        </w:rPr>
        <w:t xml:space="preserve">Check the Redis cache; if an exact string match is found, return the cached answer.</w:t>
      </w:r>
    </w:p>
    <w:p>
      <w:pPr>
        <w:pStyle w:val="ListParagraph"/>
        <w:numPr>
          <w:ilvl w:val="0"/>
          <w:numId w:val="2"/>
        </w:numPr>
        <w:spacing w:after="40" w:before="40"/>
      </w:pPr>
      <w:r>
        <w:rPr>
          <w:rFonts w:ascii="Arial" w:cs="Arial" w:eastAsia="Arial" w:hAnsi="Arial"/>
          <w:color w:val="333333"/>
          <w:sz w:val="22"/>
          <w:szCs w:val="22"/>
        </w:rPr>
        <w:t xml:space="preserve">If the same question is repeated more than three times, trigger a Support Flag prompting a more targeted clarification (e.g., offer to highlight the relevant section of the report).</w:t>
      </w:r>
    </w:p>
    <w:p>
      <w:pPr>
        <w:pStyle w:val="ListParagraph"/>
        <w:numPr>
          <w:ilvl w:val="0"/>
          <w:numId w:val="2"/>
        </w:numPr>
        <w:spacing w:after="40" w:before="40"/>
      </w:pPr>
      <w:r>
        <w:rPr>
          <w:rFonts w:ascii="Arial" w:cs="Arial" w:eastAsia="Arial" w:hAnsi="Arial"/>
          <w:color w:val="333333"/>
          <w:sz w:val="22"/>
          <w:szCs w:val="22"/>
        </w:rPr>
        <w:t xml:space="preserve">Always include the last_answer in the prompt context so the LLM can detect repetition and calibrate its response with greater empathy.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Key Principle</w:t>
            </w:r>
          </w:p>
          <w:p>
            <w:pPr>
              <w:spacing w:after="0" w:before="0"/>
            </w:pPr>
            <w:r>
              <w:rPr>
                <w:rFonts w:ascii="Arial" w:cs="Arial" w:eastAsia="Arial" w:hAnsi="Arial"/>
                <w:i/>
                <w:iCs/>
                <w:color w:val="333333"/>
                <w:sz w:val="20"/>
                <w:szCs w:val="20"/>
              </w:rPr>
              <w:t xml:space="preserve">Do not simply return a copy of the previous answer. A repeated question indicates a need for clarity, not repetition. The system should adapt its explanation accordingly.</w:t>
            </w:r>
          </w:p>
        </w:tc>
      </w:tr>
    </w:tbl>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9. RAG Pipeline Evaluation Documentation</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9.1  Objective</w:t>
      </w:r>
    </w:p>
    <w:p>
      <w:pPr>
        <w:spacing w:after="60" w:before="60"/>
      </w:pPr>
      <w:r>
        <w:rPr>
          <w:rFonts w:ascii="Arial" w:cs="Arial" w:eastAsia="Arial" w:hAnsi="Arial"/>
          <w:color w:val="333333"/>
          <w:sz w:val="22"/>
          <w:szCs w:val="22"/>
        </w:rPr>
        <w:t xml:space="preserve">The primary objective of this evaluation work was to assess the performance, reliability, and groundedness of the RAG pipeline using RAGAS (Retrieval Augmented Generation Assessment). Evaluation focused on the following dimensions:</w:t>
      </w:r>
    </w:p>
    <w:p>
      <w:pPr>
        <w:pStyle w:val="ListParagraph"/>
        <w:numPr>
          <w:ilvl w:val="0"/>
          <w:numId w:val="2"/>
        </w:numPr>
        <w:spacing w:after="40" w:before="40"/>
      </w:pPr>
      <w:r>
        <w:rPr>
          <w:rFonts w:ascii="Arial" w:cs="Arial" w:eastAsia="Arial" w:hAnsi="Arial"/>
          <w:color w:val="333333"/>
          <w:sz w:val="22"/>
          <w:szCs w:val="22"/>
        </w:rPr>
        <w:t xml:space="preserve">Faithfulness — whether the generated answer is grounded in the retrieved context.</w:t>
      </w:r>
    </w:p>
    <w:p>
      <w:pPr>
        <w:pStyle w:val="ListParagraph"/>
        <w:numPr>
          <w:ilvl w:val="0"/>
          <w:numId w:val="2"/>
        </w:numPr>
        <w:spacing w:after="40" w:before="40"/>
      </w:pPr>
      <w:r>
        <w:rPr>
          <w:rFonts w:ascii="Arial" w:cs="Arial" w:eastAsia="Arial" w:hAnsi="Arial"/>
          <w:color w:val="333333"/>
          <w:sz w:val="22"/>
          <w:szCs w:val="22"/>
        </w:rPr>
        <w:t xml:space="preserve">Answer Relevance — whether the response adequately addresses the user's query.</w:t>
      </w:r>
    </w:p>
    <w:p>
      <w:pPr>
        <w:pStyle w:val="ListParagraph"/>
        <w:numPr>
          <w:ilvl w:val="0"/>
          <w:numId w:val="2"/>
        </w:numPr>
        <w:spacing w:after="40" w:before="40"/>
      </w:pPr>
      <w:r>
        <w:rPr>
          <w:rFonts w:ascii="Arial" w:cs="Arial" w:eastAsia="Arial" w:hAnsi="Arial"/>
          <w:color w:val="333333"/>
          <w:sz w:val="22"/>
          <w:szCs w:val="22"/>
        </w:rPr>
        <w:t xml:space="preserve">Context Recall &amp; Precision — whether the retriever is returning the correct document chunks.</w:t>
      </w:r>
    </w:p>
    <w:p>
      <w:pPr>
        <w:pStyle w:val="ListParagraph"/>
        <w:numPr>
          <w:ilvl w:val="0"/>
          <w:numId w:val="2"/>
        </w:numPr>
        <w:spacing w:after="40" w:before="40"/>
      </w:pPr>
      <w:r>
        <w:rPr>
          <w:rFonts w:ascii="Arial" w:cs="Arial" w:eastAsia="Arial" w:hAnsi="Arial"/>
          <w:color w:val="333333"/>
          <w:sz w:val="22"/>
          <w:szCs w:val="22"/>
        </w:rPr>
        <w:t xml:space="preserve">Failure Attribution — whether identified issues originate from retrieval, generation, or graph reasoning.</w:t>
      </w:r>
    </w:p>
    <w:p>
      <w:pPr>
        <w:spacing w:after="60" w:before="60"/>
      </w:pPr>
      <w:r>
        <w:rPr>
          <w:rFonts w:ascii="Arial" w:cs="Arial" w:eastAsia="Arial" w:hAnsi="Arial"/>
          <w:color w:val="333333"/>
          <w:sz w:val="22"/>
          <w:szCs w:val="22"/>
        </w:rPr>
        <w:t xml:space="preserve">RAGAS was selected for its support of both reference-free and golden-dataset-based evaluation workflows.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9.2  Challenge: Operating Without a Golden Dataset</w:t>
      </w:r>
    </w:p>
    <w:p>
      <w:pPr>
        <w:pStyle w:val="Heading3"/>
        <w:spacing w:after="80" w:before="200"/>
      </w:pPr>
      <w:r>
        <w:rPr>
          <w:rFonts w:ascii="Arial" w:cs="Arial" w:eastAsia="Arial" w:hAnsi="Arial"/>
          <w:b/>
          <w:bCs/>
          <w:color w:val="595959"/>
          <w:sz w:val="24"/>
          <w:szCs w:val="24"/>
        </w:rPr>
        <w:t xml:space="preserve">Problem</w:t>
      </w:r>
    </w:p>
    <w:p>
      <w:pPr>
        <w:spacing w:after="60" w:before="60"/>
      </w:pPr>
      <w:r>
        <w:rPr>
          <w:rFonts w:ascii="Arial" w:cs="Arial" w:eastAsia="Arial" w:hAnsi="Arial"/>
          <w:color w:val="333333"/>
          <w:sz w:val="22"/>
          <w:szCs w:val="22"/>
        </w:rPr>
        <w:t xml:space="preserve">Initial evaluation was conducted without a golden dataset, which introduced several difficulties: the absence of benchmark answers and expected contexts made it difficult to compare pipeline versions and to determine whether a low score was attributable to retrieval failure, hallucination, or poor prompt design.</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A structured golden dataset creation workflow was introduced, comprising representative questions, expected answers, expected context chunks, and graph-specific reasoning samples. This substantially improved evaluation confidence and cross-version comparability.</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9.3  Challenge: Designing a Representative Golden Dataset</w:t>
      </w:r>
    </w:p>
    <w:p>
      <w:pPr>
        <w:pStyle w:val="Heading3"/>
        <w:spacing w:after="80" w:before="200"/>
      </w:pPr>
      <w:r>
        <w:rPr>
          <w:rFonts w:ascii="Arial" w:cs="Arial" w:eastAsia="Arial" w:hAnsi="Arial"/>
          <w:b/>
          <w:bCs/>
          <w:color w:val="595959"/>
          <w:sz w:val="24"/>
          <w:szCs w:val="24"/>
        </w:rPr>
        <w:t xml:space="preserve">Problem</w:t>
      </w:r>
    </w:p>
    <w:p>
      <w:pPr>
        <w:spacing w:after="60" w:before="60"/>
      </w:pPr>
      <w:r>
        <w:rPr>
          <w:rFonts w:ascii="Arial" w:cs="Arial" w:eastAsia="Arial" w:hAnsi="Arial"/>
          <w:color w:val="333333"/>
          <w:sz w:val="22"/>
          <w:szCs w:val="22"/>
        </w:rPr>
        <w:t xml:space="preserve">Constructing a high-quality golden dataset presented its own challenges, including the selection of representative queries, balancing vector-based against graph-based queries, formulating realistic medical questions, accommodating paraphrased variants, and avoiding a bias towards straightforward factual questions.</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The dataset was structured into four categories: simple factual queries, multi-hop reasoning queries, graph relation queries, and retrieval stress-test queries. This improved coverage and rendered RAGAS scores more meaningful across diverse query types.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9.4  Challenge: Open-Source LLM Limitations (Groq Models)</w:t>
      </w:r>
    </w:p>
    <w:p>
      <w:pPr>
        <w:pStyle w:val="Heading3"/>
        <w:spacing w:after="80" w:before="200"/>
      </w:pPr>
      <w:r>
        <w:rPr>
          <w:rFonts w:ascii="Arial" w:cs="Arial" w:eastAsia="Arial" w:hAnsi="Arial"/>
          <w:b/>
          <w:bCs/>
          <w:color w:val="595959"/>
          <w:sz w:val="24"/>
          <w:szCs w:val="24"/>
        </w:rPr>
        <w:t xml:space="preserve">4.1 — Evaluator Inconsistency</w:t>
      </w:r>
    </w:p>
    <w:p>
      <w:pPr>
        <w:spacing w:after="60" w:before="60"/>
      </w:pPr>
      <w:r>
        <w:rPr>
          <w:rFonts w:ascii="Arial" w:cs="Arial" w:eastAsia="Arial" w:hAnsi="Arial"/>
          <w:color w:val="333333"/>
          <w:sz w:val="22"/>
          <w:szCs w:val="22"/>
        </w:rPr>
        <w:t xml:space="preserve">Open-source LLMs frequently produced inconsistent faithfulness judgements for identical evaluation samples across multiple runs, undermining the reliability of RAGAS's LLM-as-a-judge methodology.</w:t>
      </w:r>
    </w:p>
    <w:p>
      <w:pPr>
        <w:pStyle w:val="Heading3"/>
        <w:spacing w:after="80" w:before="200"/>
      </w:pPr>
      <w:r>
        <w:rPr>
          <w:rFonts w:ascii="Arial" w:cs="Arial" w:eastAsia="Arial" w:hAnsi="Arial"/>
          <w:b/>
          <w:bCs/>
          <w:color w:val="595959"/>
          <w:sz w:val="24"/>
          <w:szCs w:val="24"/>
        </w:rPr>
        <w:t xml:space="preserve">4.2 — Weak Multi-Hop Reasoning</w:t>
      </w:r>
    </w:p>
    <w:p>
      <w:pPr>
        <w:spacing w:after="60" w:before="60"/>
      </w:pPr>
      <w:r>
        <w:rPr>
          <w:rFonts w:ascii="Arial" w:cs="Arial" w:eastAsia="Arial" w:hAnsi="Arial"/>
          <w:color w:val="333333"/>
          <w:sz w:val="22"/>
          <w:szCs w:val="22"/>
        </w:rPr>
        <w:t xml:space="preserve">For graph and medical reasoning queries, open models exhibited weaknesses in relationship validation, multi-hop chain traversal, and contradiction detection — reducing the trustworthiness of faithfulness and graph reasoning scores.</w:t>
      </w:r>
    </w:p>
    <w:p>
      <w:pPr>
        <w:pStyle w:val="Heading3"/>
        <w:spacing w:after="80" w:before="200"/>
      </w:pPr>
      <w:r>
        <w:rPr>
          <w:rFonts w:ascii="Arial" w:cs="Arial" w:eastAsia="Arial" w:hAnsi="Arial"/>
          <w:b/>
          <w:bCs/>
          <w:color w:val="595959"/>
          <w:sz w:val="24"/>
          <w:szCs w:val="24"/>
        </w:rPr>
        <w:t xml:space="preserve">4.3 — Context Length &amp; Token Constraints</w:t>
      </w:r>
    </w:p>
    <w:p>
      <w:pPr>
        <w:spacing w:after="60" w:before="60"/>
      </w:pPr>
      <w:r>
        <w:rPr>
          <w:rFonts w:ascii="Arial" w:cs="Arial" w:eastAsia="Arial" w:hAnsi="Arial"/>
          <w:color w:val="333333"/>
          <w:sz w:val="22"/>
          <w:szCs w:val="22"/>
        </w:rPr>
        <w:t xml:space="preserve">Large retrieved contexts caused truncation, incomplete evaluation passes, and context loss, disproportionately affecting context recall and faithfulness metrics.</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The following mitigations were implemented: TOP-K context limitation, context compression prior to evaluation, separate evaluation tracks for vector and graph retrieval, and a weighted scoring pipeline.</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9.5  Challenge: Retrieval Evaluation Complexity</w:t>
      </w:r>
    </w:p>
    <w:p>
      <w:pPr>
        <w:pStyle w:val="Heading3"/>
        <w:spacing w:after="80" w:before="200"/>
      </w:pPr>
      <w:r>
        <w:rPr>
          <w:rFonts w:ascii="Arial" w:cs="Arial" w:eastAsia="Arial" w:hAnsi="Arial"/>
          <w:b/>
          <w:bCs/>
          <w:color w:val="595959"/>
          <w:sz w:val="24"/>
          <w:szCs w:val="24"/>
        </w:rPr>
        <w:t xml:space="preserve">Problem</w:t>
      </w:r>
    </w:p>
    <w:p>
      <w:pPr>
        <w:spacing w:after="60" w:before="60"/>
      </w:pPr>
      <w:r>
        <w:rPr>
          <w:rFonts w:ascii="Arial" w:cs="Arial" w:eastAsia="Arial" w:hAnsi="Arial"/>
          <w:color w:val="333333"/>
          <w:sz w:val="22"/>
          <w:szCs w:val="22"/>
        </w:rPr>
        <w:t xml:space="preserve">The pipeline's hybrid architecture — combining dense retrieval, BM25, RRF fusion, MMR reranking, and graph enrichment — meant that a single aggregate RAGAS score was insufficient to identify which stage was responsible for a given failure.</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A component-level evaluation strategy was introduced, tracking separate metrics for pre-rerank retrieval, post-RRF retrieval, and final MMR output. This enabled precise identification of retriever bottlenecks.</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9.6  Challenge: Hallucination Detection</w:t>
      </w:r>
    </w:p>
    <w:p>
      <w:pPr>
        <w:pStyle w:val="Heading3"/>
        <w:spacing w:after="80" w:before="200"/>
      </w:pPr>
      <w:r>
        <w:rPr>
          <w:rFonts w:ascii="Arial" w:cs="Arial" w:eastAsia="Arial" w:hAnsi="Arial"/>
          <w:b/>
          <w:bCs/>
          <w:color w:val="595959"/>
          <w:sz w:val="24"/>
          <w:szCs w:val="24"/>
        </w:rPr>
        <w:t xml:space="preserve">Problem</w:t>
      </w:r>
    </w:p>
    <w:p>
      <w:pPr>
        <w:spacing w:after="60" w:before="60"/>
      </w:pPr>
      <w:r>
        <w:rPr>
          <w:rFonts w:ascii="Arial" w:cs="Arial" w:eastAsia="Arial" w:hAnsi="Arial"/>
          <w:color w:val="333333"/>
          <w:sz w:val="22"/>
          <w:szCs w:val="22"/>
        </w:rPr>
        <w:t xml:space="preserve">A recurring challenge was identifying answers that appeared semantically plausible but were not grounded in the retrieved context — a pattern particularly prevalent with open-source LLMs.</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The RAGAS faithfulness metric was adopted as the primary hallucination signal, verifying that each generated claim is explicitly supported by the provided context. This became one of the most critical metrics in the evaluation suite.</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9.7  Challenge: Failure Attribution</w:t>
      </w:r>
    </w:p>
    <w:p>
      <w:pPr>
        <w:pStyle w:val="Heading3"/>
        <w:spacing w:after="80" w:before="200"/>
      </w:pPr>
      <w:r>
        <w:rPr>
          <w:rFonts w:ascii="Arial" w:cs="Arial" w:eastAsia="Arial" w:hAnsi="Arial"/>
          <w:b/>
          <w:bCs/>
          <w:color w:val="595959"/>
          <w:sz w:val="24"/>
          <w:szCs w:val="24"/>
        </w:rPr>
        <w:t xml:space="preserve">Problem</w:t>
      </w:r>
    </w:p>
    <w:p>
      <w:pPr>
        <w:spacing w:after="60" w:before="60"/>
      </w:pPr>
      <w:r>
        <w:rPr>
          <w:rFonts w:ascii="Arial" w:cs="Arial" w:eastAsia="Arial" w:hAnsi="Arial"/>
          <w:color w:val="333333"/>
          <w:sz w:val="22"/>
          <w:szCs w:val="22"/>
        </w:rPr>
        <w:t xml:space="preserve">A low aggregate score alone provided insufficient diagnostic information. It was unclear whether failure was attributable to retrieval, prompting, hallucination, or graph reasoning.</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A failure bucketing system was implemented, mapping metric patterns to root causes: low context recall indicated retrieval failure; low faithfulness indicated hallucination; low semantic similarity indicated a generation issue; low graph score indicated a reasoning failure.</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9.8  Challenge: Graph-Based Query Evaluation</w:t>
      </w:r>
    </w:p>
    <w:p>
      <w:pPr>
        <w:pStyle w:val="Heading3"/>
        <w:spacing w:after="80" w:before="200"/>
      </w:pPr>
      <w:r>
        <w:rPr>
          <w:rFonts w:ascii="Arial" w:cs="Arial" w:eastAsia="Arial" w:hAnsi="Arial"/>
          <w:b/>
          <w:bCs/>
          <w:color w:val="595959"/>
          <w:sz w:val="24"/>
          <w:szCs w:val="24"/>
        </w:rPr>
        <w:t xml:space="preserve">Problem</w:t>
      </w:r>
    </w:p>
    <w:p>
      <w:pPr>
        <w:spacing w:after="60" w:before="60"/>
      </w:pPr>
      <w:r>
        <w:rPr>
          <w:rFonts w:ascii="Arial" w:cs="Arial" w:eastAsia="Arial" w:hAnsi="Arial"/>
          <w:color w:val="333333"/>
          <w:sz w:val="22"/>
          <w:szCs w:val="22"/>
        </w:rPr>
        <w:t xml:space="preserve">Standard RAGAS metrics are designed for text-based RAG and are insufficient for evaluating graph reasoning components, including Neo4j graph enrichment, relationship traversal, and node-level reasoning.</w:t>
      </w:r>
    </w:p>
    <w:p>
      <w:pPr>
        <w:pStyle w:val="Heading3"/>
        <w:spacing w:after="80" w:before="200"/>
      </w:pPr>
      <w:r>
        <w:rPr>
          <w:rFonts w:ascii="Arial" w:cs="Arial" w:eastAsia="Arial" w:hAnsi="Arial"/>
          <w:b/>
          <w:bCs/>
          <w:color w:val="595959"/>
          <w:sz w:val="24"/>
          <w:szCs w:val="24"/>
        </w:rPr>
        <w:t xml:space="preserve">Resolution</w:t>
      </w:r>
    </w:p>
    <w:p>
      <w:pPr>
        <w:spacing w:after="60" w:before="60"/>
      </w:pPr>
      <w:r>
        <w:rPr>
          <w:rFonts w:ascii="Arial" w:cs="Arial" w:eastAsia="Arial" w:hAnsi="Arial"/>
          <w:color w:val="333333"/>
          <w:sz w:val="22"/>
          <w:szCs w:val="22"/>
        </w:rPr>
        <w:t xml:space="preserve">A custom graph evaluation layer was developed on top of RAGAS, incorporating entity correctness, relation correctness, and graph path consistency metrics. These are combined with the faithfulness score for final pipeline assessment.</w:t>
      </w:r>
    </w:p>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10. TruLens — Observability &amp; Production Monitoring</w:t>
      </w:r>
    </w:p>
    <w:p>
      <w:pPr>
        <w:spacing w:after="100" w:before="100"/>
      </w:pPr>
      <w:r>
        <w:t xml:space="preserve"/>
      </w:r>
    </w:p>
    <w:p>
      <w:pPr>
        <w:pStyle w:val="Heading2"/>
        <w:spacing w:after="100" w:before="280"/>
      </w:pPr>
      <w:r>
        <w:rPr>
          <w:rFonts w:ascii="Arial" w:cs="Arial" w:eastAsia="Arial" w:hAnsi="Arial"/>
          <w:b/>
          <w:bCs/>
          <w:color w:val="2E5FA3"/>
          <w:sz w:val="26"/>
          <w:szCs w:val="26"/>
        </w:rPr>
        <w:t xml:space="preserve">10.1  End-to-End Traceability</w:t>
      </w:r>
    </w:p>
    <w:p>
      <w:pPr>
        <w:spacing w:after="60" w:before="60"/>
      </w:pPr>
      <w:r>
        <w:rPr>
          <w:rFonts w:ascii="Arial" w:cs="Arial" w:eastAsia="Arial" w:hAnsi="Arial"/>
          <w:color w:val="333333"/>
          <w:sz w:val="22"/>
          <w:szCs w:val="22"/>
        </w:rPr>
        <w:t xml:space="preserve">Unlike RAGAS, TruLens provides execution-level tracing and instrumentation, enabling monitoring of query input, retrieval spans, reranker output, final generation, latency, and token usage throughout the full pipeline lifecycle.</w:t>
      </w:r>
    </w:p>
    <w:p>
      <w:pPr>
        <w:pStyle w:val="Heading2"/>
        <w:spacing w:after="100" w:before="280"/>
      </w:pPr>
      <w:r>
        <w:rPr>
          <w:rFonts w:ascii="Arial" w:cs="Arial" w:eastAsia="Arial" w:hAnsi="Arial"/>
          <w:b/>
          <w:bCs/>
          <w:color w:val="2E5FA3"/>
          <w:sz w:val="26"/>
          <w:szCs w:val="26"/>
        </w:rPr>
        <w:t xml:space="preserve">10.2  The RAG Triad</w:t>
      </w:r>
    </w:p>
    <w:p>
      <w:pPr>
        <w:spacing w:after="60" w:before="60"/>
      </w:pPr>
      <w:r>
        <w:rPr>
          <w:rFonts w:ascii="Arial" w:cs="Arial" w:eastAsia="Arial" w:hAnsi="Arial"/>
          <w:color w:val="333333"/>
          <w:sz w:val="22"/>
          <w:szCs w:val="22"/>
        </w:rPr>
        <w:t xml:space="preserve">TruLens introduces a complementary evaluation framework known as the RAG Triad, comprising three dimensions: Context Relevance, Groundedness, and Answer Relevance. This framework complements RAGAS effectively.</w:t>
      </w:r>
    </w:p>
    <w:p>
      <w:pPr>
        <w:pStyle w:val="Heading2"/>
        <w:spacing w:after="100" w:before="280"/>
      </w:pPr>
      <w:r>
        <w:rPr>
          <w:rFonts w:ascii="Arial" w:cs="Arial" w:eastAsia="Arial" w:hAnsi="Arial"/>
          <w:b/>
          <w:bCs/>
          <w:color w:val="2E5FA3"/>
          <w:sz w:val="26"/>
          <w:szCs w:val="26"/>
        </w:rPr>
        <w:t xml:space="preserve">10.3  Production Monitoring</w:t>
      </w:r>
    </w:p>
    <w:p>
      <w:pPr>
        <w:spacing w:after="60" w:before="60"/>
      </w:pPr>
      <w:r>
        <w:rPr>
          <w:rFonts w:ascii="Arial" w:cs="Arial" w:eastAsia="Arial" w:hAnsi="Arial"/>
          <w:color w:val="333333"/>
          <w:sz w:val="22"/>
          <w:szCs w:val="22"/>
        </w:rPr>
        <w:t xml:space="preserve">While RAGAS excels in offline batch evaluation, TruLens is the preferred tool for online monitoring, production debugging, trace-based failure analysis, and drift detection in live systems.</w:t>
      </w:r>
    </w:p>
    <w:p>
      <w:pPr>
        <w:pStyle w:val="Heading2"/>
        <w:spacing w:after="100" w:before="280"/>
      </w:pPr>
      <w:r>
        <w:rPr>
          <w:rFonts w:ascii="Arial" w:cs="Arial" w:eastAsia="Arial" w:hAnsi="Arial"/>
          <w:b/>
          <w:bCs/>
          <w:color w:val="2E5FA3"/>
          <w:sz w:val="26"/>
          <w:szCs w:val="26"/>
        </w:rPr>
        <w:t xml:space="preserve">10.4  Continuous Evaluation</w:t>
      </w:r>
    </w:p>
    <w:p>
      <w:pPr>
        <w:spacing w:after="60" w:before="60"/>
      </w:pPr>
      <w:r>
        <w:rPr>
          <w:rFonts w:ascii="Arial" w:cs="Arial" w:eastAsia="Arial" w:hAnsi="Arial"/>
          <w:color w:val="333333"/>
          <w:sz w:val="22"/>
          <w:szCs w:val="22"/>
        </w:rPr>
        <w:t xml:space="preserve">TruLens supports attaching evaluation feedback directly to traced spans, making it well-suited for production RAG systems, agentic workflows, and long-term quality monitoring.</w:t>
      </w:r>
    </w:p>
    <w:p>
      <w:pPr>
        <w:spacing w:after="100" w:before="100"/>
      </w:pPr>
      <w:r>
        <w:t xml:space="preserve"/>
      </w:r>
    </w:p>
    <w:p>
      <w:pPr>
        <w:pStyle w:val="Heading1"/>
        <w:pBdr>
          <w:bottom w:val="single" w:color="2E5FA3" w:sz="6" w:space="4"/>
        </w:pBdr>
        <w:spacing w:after="120" w:before="360"/>
      </w:pPr>
      <w:r>
        <w:rPr>
          <w:rFonts w:ascii="Arial" w:cs="Arial" w:eastAsia="Arial" w:hAnsi="Arial"/>
          <w:b/>
          <w:bCs/>
          <w:color w:val="1F3864"/>
          <w:sz w:val="32"/>
          <w:szCs w:val="32"/>
        </w:rPr>
        <w:t xml:space="preserve">11. Summary &amp; Recommended Evaluation Stack</w:t>
      </w:r>
    </w:p>
    <w:p>
      <w:pPr>
        <w:spacing w:after="60" w:before="60"/>
      </w:pPr>
      <w:r>
        <w:rPr>
          <w:rFonts w:ascii="Arial" w:cs="Arial" w:eastAsia="Arial" w:hAnsi="Arial"/>
          <w:color w:val="333333"/>
          <w:sz w:val="22"/>
          <w:szCs w:val="22"/>
        </w:rPr>
        <w:t xml:space="preserve">The following key learnings were derived from this body of evaluation work:</w:t>
      </w:r>
    </w:p>
    <w:p>
      <w:pPr>
        <w:pStyle w:val="ListParagraph"/>
        <w:numPr>
          <w:ilvl w:val="0"/>
          <w:numId w:val="2"/>
        </w:numPr>
        <w:spacing w:after="40" w:before="40"/>
      </w:pPr>
      <w:r>
        <w:rPr>
          <w:rFonts w:ascii="Arial" w:cs="Arial" w:eastAsia="Arial" w:hAnsi="Arial"/>
          <w:color w:val="333333"/>
          <w:sz w:val="22"/>
          <w:szCs w:val="22"/>
        </w:rPr>
        <w:t xml:space="preserve">RAGAS is the recommended framework for offline metric-based evaluation.</w:t>
      </w:r>
    </w:p>
    <w:p>
      <w:pPr>
        <w:pStyle w:val="ListParagraph"/>
        <w:numPr>
          <w:ilvl w:val="0"/>
          <w:numId w:val="2"/>
        </w:numPr>
        <w:spacing w:after="40" w:before="40"/>
      </w:pPr>
      <w:r>
        <w:rPr>
          <w:rFonts w:ascii="Arial" w:cs="Arial" w:eastAsia="Arial" w:hAnsi="Arial"/>
          <w:color w:val="333333"/>
          <w:sz w:val="22"/>
          <w:szCs w:val="22"/>
        </w:rPr>
        <w:t xml:space="preserve">A golden dataset is essential for trustworthy, reproducible benchmarking.</w:t>
      </w:r>
    </w:p>
    <w:p>
      <w:pPr>
        <w:pStyle w:val="ListParagraph"/>
        <w:numPr>
          <w:ilvl w:val="0"/>
          <w:numId w:val="2"/>
        </w:numPr>
        <w:spacing w:after="40" w:before="40"/>
      </w:pPr>
      <w:r>
        <w:rPr>
          <w:rFonts w:ascii="Arial" w:cs="Arial" w:eastAsia="Arial" w:hAnsi="Arial"/>
          <w:color w:val="333333"/>
          <w:sz w:val="22"/>
          <w:szCs w:val="22"/>
        </w:rPr>
        <w:t xml:space="preserve">Open-source LLMs introduce evaluator inconsistency and require careful mitigation strategies.</w:t>
      </w:r>
    </w:p>
    <w:p>
      <w:pPr>
        <w:pStyle w:val="ListParagraph"/>
        <w:numPr>
          <w:ilvl w:val="0"/>
          <w:numId w:val="2"/>
        </w:numPr>
        <w:spacing w:after="40" w:before="40"/>
      </w:pPr>
      <w:r>
        <w:rPr>
          <w:rFonts w:ascii="Arial" w:cs="Arial" w:eastAsia="Arial" w:hAnsi="Arial"/>
          <w:color w:val="333333"/>
          <w:sz w:val="22"/>
          <w:szCs w:val="22"/>
        </w:rPr>
        <w:t xml:space="preserve">Hybrid retrieval architectures require component-level evaluation metrics rather than a single aggregate score.</w:t>
      </w:r>
    </w:p>
    <w:p>
      <w:pPr>
        <w:pStyle w:val="ListParagraph"/>
        <w:numPr>
          <w:ilvl w:val="0"/>
          <w:numId w:val="2"/>
        </w:numPr>
        <w:spacing w:after="40" w:before="40"/>
      </w:pPr>
      <w:r>
        <w:rPr>
          <w:rFonts w:ascii="Arial" w:cs="Arial" w:eastAsia="Arial" w:hAnsi="Arial"/>
          <w:color w:val="333333"/>
          <w:sz w:val="22"/>
          <w:szCs w:val="22"/>
        </w:rPr>
        <w:t xml:space="preserve">TruLens is indispensable for production-grade observability and monitoring.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Recommended Evaluation Stack</w:t>
            </w:r>
          </w:p>
          <w:p>
            <w:pPr>
              <w:spacing w:after="0" w:before="0"/>
            </w:pPr>
            <w:r>
              <w:rPr>
                <w:rFonts w:ascii="Arial" w:cs="Arial" w:eastAsia="Arial" w:hAnsi="Arial"/>
                <w:i/>
                <w:iCs/>
                <w:color w:val="333333"/>
                <w:sz w:val="20"/>
                <w:szCs w:val="20"/>
              </w:rPr>
              <w:t xml:space="preserve">Golden Dataset  +  RAGAS  +  TruLens
This combination provides the most reliable and comprehensive evaluation workflow for enterprise-grade RAG systems, covering both offline benchmarking and real-time production observability.</w:t>
            </w:r>
          </w:p>
        </w:tc>
      </w:tr>
    </w:tbl>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pPr>
    <w:r>
      <w:rPr>
        <w:rFonts w:ascii="Arial" w:cs="Arial" w:eastAsia="Arial" w:hAnsi="Arial"/>
        <w:color w:val="595959"/>
        <w:sz w:val="18"/>
        <w:szCs w:val="18"/>
      </w:rPr>
      <w:t xml:space="preserve">Confidential —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after="100" w:before="0"/>
    </w:pPr>
    <w:r>
      <w:rPr>
        <w:rFonts w:ascii="Arial" w:cs="Arial" w:eastAsia="Arial" w:hAnsi="Arial"/>
        <w:b/>
        <w:bCs/>
        <w:color w:val="1F3864"/>
        <w:sz w:val="20"/>
        <w:szCs w:val="20"/>
      </w:rPr>
      <w:t xml:space="preserve">RAG Pipeline — Engineering Insights &amp; Evaluation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2026-04-16T09:56:45.011Z</dcterms:created>
  <dcterms:modified xsi:type="dcterms:W3CDTF">2026-04-16T09:56:45.012Z</dcterms:modified>
</cp:coreProperties>
</file>

<file path=docProps/custom.xml><?xml version="1.0" encoding="utf-8"?>
<Properties xmlns="http://schemas.openxmlformats.org/officeDocument/2006/custom-properties" xmlns:vt="http://schemas.openxmlformats.org/officeDocument/2006/docPropsVTypes"/>
</file>