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2A44"/>
          <w:sz w:val="56"/>
          <w:szCs w:val="56"/>
        </w:rPr>
        <w:t xml:space="preserve">MedChat — Graph RAG Cancer Assistant</w:t>
      </w:r>
    </w:p>
    <w:p>
      <w:pPr>
        <w:spacing w:after="160" w:before="0"/>
        <w:jc w:val="center"/>
      </w:pPr>
      <w:r>
        <w:rPr>
          <w:rFonts w:ascii="Arial" w:cs="Arial" w:eastAsia="Arial" w:hAnsi="Arial"/>
          <w:i/>
          <w:iCs/>
          <w:color w:val="2FA36B"/>
          <w:sz w:val="32"/>
          <w:szCs w:val="32"/>
        </w:rPr>
        <w:t xml:space="preserve">Project Knowledge Base &amp; Technical Documentation</w:t>
      </w:r>
    </w:p>
    <w:p>
      <w:pPr>
        <w:spacing w:after="120" w:before="120"/>
        <w:jc w:val="center"/>
      </w:pPr>
      <w:r>
        <w:rPr>
          <w:rFonts w:ascii="Arial" w:cs="Arial" w:eastAsia="Arial" w:hAnsi="Arial"/>
          <w:color w:val="555555"/>
          <w:sz w:val="22"/>
          <w:szCs w:val="22"/>
        </w:rPr>
        <w:t xml:space="preserve">A consolidated reference for system design, engineering insights, weekly progress, and reproducibility</w:t>
      </w:r>
    </w:p>
    <w:p>
      <w:r>
        <w:t xml:space="preserve"/>
      </w:r>
    </w:p>
    <w:p>
      <w:pPr>
        <w:spacing w:after="80" w:before="120"/>
        <w:jc w:val="center"/>
      </w:pPr>
      <w:r>
        <w:rPr>
          <w:rFonts w:ascii="Arial" w:cs="Arial" w:eastAsia="Arial" w:hAnsi="Arial"/>
          <w:b/>
          <w:bCs/>
          <w:sz w:val="22"/>
          <w:szCs w:val="22"/>
        </w:rPr>
        <w:t xml:space="preserve">Team: Aziro Technologies — Internship Project</w:t>
      </w:r>
    </w:p>
    <w:p>
      <w:pPr>
        <w:spacing w:after="80" w:before="0"/>
        <w:jc w:val="center"/>
      </w:pPr>
      <w:r>
        <w:rPr>
          <w:rFonts w:ascii="Arial" w:cs="Arial" w:eastAsia="Arial" w:hAnsi="Arial"/>
          <w:color w:val="444444"/>
          <w:sz w:val="20"/>
          <w:szCs w:val="20"/>
        </w:rPr>
        <w:t xml:space="preserve">Stack: Neo4j Aura · Groq (LLaMA-3) · BAAI/bge-base-en · LangChain · Streamlit</w:t>
      </w:r>
    </w:p>
    <w:p>
      <w:pPr>
        <w:spacing w:after="0" w:before="0"/>
        <w:jc w:val="center"/>
      </w:pPr>
      <w:r>
        <w:rPr>
          <w:rFonts w:ascii="Arial" w:cs="Arial" w:eastAsia="Arial" w:hAnsi="Arial"/>
          <w:i/>
          <w:iCs/>
          <w:color w:val="888888"/>
          <w:sz w:val="20"/>
          <w:szCs w:val="20"/>
        </w:rPr>
        <w:t xml:space="preserve">Document Version: 1.0  |  Classification: Internal Use Only</w:t>
      </w:r>
    </w:p>
    <w:p>
      <w:r>
        <w:br w:type="page"/>
      </w:r>
    </w:p>
    <w:p>
      <w:pPr>
        <w:pStyle w:val="Heading1"/>
        <w:spacing w:after="120" w:before="360"/>
      </w:pPr>
      <w:r>
        <w:rPr>
          <w:rFonts w:ascii="Arial" w:cs="Arial" w:eastAsia="Arial" w:hAnsi="Arial"/>
          <w:b/>
          <w:bCs/>
          <w:sz w:val="36"/>
          <w:szCs w:val="36"/>
        </w:rPr>
        <w:t xml:space="preserve">1. Project Overview</w:t>
      </w:r>
    </w:p>
    <w:p>
      <w:pPr>
        <w:pStyle w:val="Heading2"/>
        <w:spacing w:after="80" w:before="240"/>
      </w:pPr>
      <w:r>
        <w:rPr>
          <w:rFonts w:ascii="Arial" w:cs="Arial" w:eastAsia="Arial" w:hAnsi="Arial"/>
          <w:b/>
          <w:bCs/>
          <w:sz w:val="28"/>
          <w:szCs w:val="28"/>
        </w:rPr>
        <w:t xml:space="preserve">1.1 Problem Statement</w:t>
      </w:r>
    </w:p>
    <w:p>
      <w:pPr>
        <w:spacing w:after="80" w:before="80"/>
      </w:pPr>
      <w:r>
        <w:rPr>
          <w:rFonts w:ascii="Arial" w:cs="Arial" w:eastAsia="Arial" w:hAnsi="Arial"/>
          <w:sz w:val="22"/>
          <w:szCs w:val="22"/>
        </w:rPr>
        <w:t xml:space="preserve">Cancer patients and clinicians frequently struggle to navigate the vast body of clinical literature, interpret personal medical reports, and understand the dietary or pharmacological interactions that accompany chemotherapy. Existing general-purpose chatbots lack the clinical specificity, source grounding, and multi-modal reasoning capabilities needed to be trustworthy in this domain.</w:t>
      </w:r>
    </w:p>
    <w:p>
      <w:r>
        <w:t xml:space="preserve"/>
      </w:r>
    </w:p>
    <w:p>
      <w:pPr>
        <w:pStyle w:val="Heading2"/>
        <w:spacing w:after="80" w:before="240"/>
      </w:pPr>
      <w:r>
        <w:rPr>
          <w:rFonts w:ascii="Arial" w:cs="Arial" w:eastAsia="Arial" w:hAnsi="Arial"/>
          <w:b/>
          <w:bCs/>
          <w:sz w:val="28"/>
          <w:szCs w:val="28"/>
        </w:rPr>
        <w:t xml:space="preserve">1.2 Objective</w:t>
      </w:r>
    </w:p>
    <w:p>
      <w:pPr>
        <w:spacing w:after="80" w:before="80"/>
      </w:pPr>
      <w:r>
        <w:rPr>
          <w:rFonts w:ascii="Arial" w:cs="Arial" w:eastAsia="Arial" w:hAnsi="Arial"/>
          <w:sz w:val="22"/>
          <w:szCs w:val="22"/>
        </w:rPr>
        <w:t xml:space="preserve">Build a production-grade medical RAG chatbot, MedChat, that can:</w:t>
      </w:r>
    </w:p>
    <w:p>
      <w:pPr>
        <w:pStyle w:val="ListParagraph"/>
        <w:numPr>
          <w:ilvl w:val="0"/>
          <w:numId w:val="2"/>
        </w:numPr>
        <w:spacing w:after="60" w:before="60"/>
      </w:pPr>
      <w:r>
        <w:rPr>
          <w:rFonts w:ascii="Arial" w:cs="Arial" w:eastAsia="Arial" w:hAnsi="Arial"/>
          <w:sz w:val="22"/>
          <w:szCs w:val="22"/>
        </w:rPr>
        <w:t xml:space="preserve">Answer questions grounded in peer-reviewed oncology literature (ingested as PDFs)</w:t>
      </w:r>
    </w:p>
    <w:p>
      <w:pPr>
        <w:pStyle w:val="ListParagraph"/>
        <w:numPr>
          <w:ilvl w:val="0"/>
          <w:numId w:val="2"/>
        </w:numPr>
        <w:spacing w:after="60" w:before="60"/>
      </w:pPr>
      <w:r>
        <w:rPr>
          <w:rFonts w:ascii="Arial" w:cs="Arial" w:eastAsia="Arial" w:hAnsi="Arial"/>
          <w:sz w:val="22"/>
          <w:szCs w:val="22"/>
        </w:rPr>
        <w:t xml:space="preserve">Reason over a hand-crafted medical knowledge graph (Neo4j) for drug–food interactions, nutrition guidelines, and treatment protocols</w:t>
      </w:r>
    </w:p>
    <w:p>
      <w:pPr>
        <w:pStyle w:val="ListParagraph"/>
        <w:numPr>
          <w:ilvl w:val="0"/>
          <w:numId w:val="2"/>
        </w:numPr>
        <w:spacing w:after="60" w:before="60"/>
      </w:pPr>
      <w:r>
        <w:rPr>
          <w:rFonts w:ascii="Arial" w:cs="Arial" w:eastAsia="Arial" w:hAnsi="Arial"/>
          <w:sz w:val="22"/>
          <w:szCs w:val="22"/>
        </w:rPr>
        <w:t xml:space="preserve">Retrieve and display relevant figures, tables, and flowcharts from source papers</w:t>
      </w:r>
    </w:p>
    <w:p>
      <w:pPr>
        <w:pStyle w:val="ListParagraph"/>
        <w:numPr>
          <w:ilvl w:val="0"/>
          <w:numId w:val="2"/>
        </w:numPr>
        <w:spacing w:after="60" w:before="60"/>
      </w:pPr>
      <w:r>
        <w:rPr>
          <w:rFonts w:ascii="Arial" w:cs="Arial" w:eastAsia="Arial" w:hAnsi="Arial"/>
          <w:sz w:val="22"/>
          <w:szCs w:val="22"/>
        </w:rPr>
        <w:t xml:space="preserve">Analyse uploaded patient clinical reports and generate structured summaries</w:t>
      </w:r>
    </w:p>
    <w:p>
      <w:pPr>
        <w:pStyle w:val="ListParagraph"/>
        <w:numPr>
          <w:ilvl w:val="0"/>
          <w:numId w:val="2"/>
        </w:numPr>
        <w:spacing w:after="60" w:before="60"/>
      </w:pPr>
      <w:r>
        <w:rPr>
          <w:rFonts w:ascii="Arial" w:cs="Arial" w:eastAsia="Arial" w:hAnsi="Arial"/>
          <w:sz w:val="22"/>
          <w:szCs w:val="22"/>
        </w:rPr>
        <w:t xml:space="preserve">Proactively fall back to real-time web search when corpus knowledge is insufficient</w:t>
      </w:r>
    </w:p>
    <w:p>
      <w:r>
        <w:t xml:space="preserve"/>
      </w:r>
    </w:p>
    <w:p>
      <w:pPr>
        <w:pStyle w:val="Heading2"/>
        <w:spacing w:after="80" w:before="240"/>
      </w:pPr>
      <w:r>
        <w:rPr>
          <w:rFonts w:ascii="Arial" w:cs="Arial" w:eastAsia="Arial" w:hAnsi="Arial"/>
          <w:b/>
          <w:bCs/>
          <w:sz w:val="28"/>
          <w:szCs w:val="28"/>
        </w:rPr>
        <w:t xml:space="preserve">1.3 High-Level Architecture</w:t>
      </w:r>
    </w:p>
    <w:p>
      <w:pPr>
        <w:spacing w:after="80" w:before="80"/>
      </w:pPr>
      <w:r>
        <w:rPr>
          <w:rFonts w:ascii="Arial" w:cs="Arial" w:eastAsia="Arial" w:hAnsi="Arial"/>
          <w:sz w:val="22"/>
          <w:szCs w:val="22"/>
        </w:rPr>
        <w:t xml:space="preserve">The system is organised into four tiers that interact in sequence for every query: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Tier</w:t>
            </w:r>
          </w:p>
        </w:tc>
        <w:tc>
          <w:tcPr>
            <w:tcW w:type="dxa" w:w="252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Component</w:t>
            </w:r>
          </w:p>
        </w:tc>
        <w:tc>
          <w:tcPr>
            <w:tcW w:type="dxa" w:w="252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Technology</w:t>
            </w:r>
          </w:p>
        </w:tc>
        <w:tc>
          <w:tcPr>
            <w:tcW w:type="dxa" w:w="252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Purpose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Ingestion</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 Chunks → Neo4j</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Docling, PyMuPDF, LangChain</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Extract, clean, chunk, and embed clinical PDFs; store in Neo4j vector index</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Knowledge Graph</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Cypher-based retrieval</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Neo4j Aura, hand-crafted schema</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Drug–food interactions, nutrition guidelines, treatment protocols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Retrieval</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Hybrid BM25 + Dense + RRF + MMR</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BM25Retriever, Neo4jVector, HuggingFace</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Fuse lexical and semantic retrieval; rerank for diversity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Generation</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LLM + Web Fallback</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Groq (LLaMA-3.3-70b), DuckDuckGo</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Generate grounded answers; fall back to web for out-of-corpus queries</w:t>
            </w:r>
          </w:p>
        </w:tc>
      </w:tr>
    </w:tbl>
    <w:p>
      <w:r>
        <w:t xml:space="preserve"/>
      </w:r>
    </w:p>
    <w:p>
      <w:pPr>
        <w:spacing w:after="80" w:before="80"/>
        <w:ind w:left="720"/>
      </w:pPr>
      <w:r>
        <w:rPr>
          <w:rFonts w:ascii="Arial" w:cs="Arial" w:eastAsia="Arial" w:hAnsi="Arial"/>
          <w:b/>
          <w:bCs/>
          <w:i/>
          <w:iCs/>
          <w:color w:val="2E75B6"/>
          <w:sz w:val="22"/>
          <w:szCs w:val="22"/>
        </w:rPr>
        <w:t xml:space="preserve">Note: </w:t>
      </w:r>
      <w:r>
        <w:rPr>
          <w:rFonts w:ascii="Arial" w:cs="Arial" w:eastAsia="Arial" w:hAnsi="Arial"/>
          <w:i/>
          <w:iCs/>
          <w:color w:val="444444"/>
          <w:sz w:val="22"/>
          <w:szCs w:val="22"/>
        </w:rPr>
        <w:t xml:space="preserve">The pipeline uses three explicit query modes — Research (PDF only), Graph (knowledge graph first), and Auto (both paths merged) — switchable from the UI sidebar.</w:t>
      </w:r>
    </w:p>
    <w:p>
      <w:pPr>
        <w:pBdr>
          <w:bottom w:val="single" w:color="AAAAAA" w:sz="4"/>
        </w:pBdr>
        <w:spacing w:after="160" w:before="160"/>
      </w:pPr>
      <w:r>
        <w:t xml:space="preserve"/>
      </w:r>
    </w:p>
    <w:p>
      <w:pPr>
        <w:pStyle w:val="Heading1"/>
        <w:spacing w:after="120" w:before="360"/>
      </w:pPr>
      <w:r>
        <w:rPr>
          <w:rFonts w:ascii="Arial" w:cs="Arial" w:eastAsia="Arial" w:hAnsi="Arial"/>
          <w:b/>
          <w:bCs/>
          <w:sz w:val="36"/>
          <w:szCs w:val="36"/>
        </w:rPr>
        <w:t xml:space="preserve">2. Weekly Progress Tracker</w:t>
      </w:r>
    </w:p>
    <w:p>
      <w:pPr>
        <w:spacing w:after="80" w:before="80"/>
      </w:pPr>
      <w:r>
        <w:rPr>
          <w:rFonts w:ascii="Arial" w:cs="Arial" w:eastAsia="Arial" w:hAnsi="Arial"/>
          <w:sz w:val="22"/>
          <w:szCs w:val="22"/>
        </w:rPr>
        <w:t xml:space="preserve">This section consolidates the week-by-week development log into a structured format. Overlapping or repeated content across logs has been merged into a single coherent account per week.</w:t>
      </w:r>
    </w:p>
    <w:p>
      <w:r>
        <w:t xml:space="preserve"/>
      </w:r>
    </w:p>
    <w:p>
      <w:pPr>
        <w:pStyle w:val="Heading2"/>
        <w:spacing w:after="80" w:before="240"/>
      </w:pPr>
      <w:r>
        <w:rPr>
          <w:rFonts w:ascii="Arial" w:cs="Arial" w:eastAsia="Arial" w:hAnsi="Arial"/>
          <w:b/>
          <w:bCs/>
          <w:sz w:val="28"/>
          <w:szCs w:val="28"/>
        </w:rPr>
        <w:t xml:space="preserve">Week 1 — Onboarding &amp; Architecture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Area</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Activity</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Outcome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Completed onboarding, form submissions, induction with Suraj Sir</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Onboarding complete Jan 19</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Project</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Daily standup cycle initiated with Kajal Ma'am; dev environment replicated</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Environment operational Jan 22</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R&amp;D</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Reviewed Milvus vs FAISS, HIPAA/FHIR fundamentals, explored RAG document loaders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Foundational understanding established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Upskilling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Co-designed AI upskilling curriculum for Aziro developers; submitted proposal to Priyanka Ma'am</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Proposal submitted Jan 21</w:t>
            </w:r>
          </w:p>
        </w:tc>
      </w:tr>
    </w:tbl>
    <w:p>
      <w:r>
        <w:t xml:space="preserve"/>
      </w:r>
    </w:p>
    <w:p>
      <w:pPr>
        <w:pStyle w:val="Heading2"/>
        <w:spacing w:after="80" w:before="240"/>
      </w:pPr>
      <w:r>
        <w:rPr>
          <w:rFonts w:ascii="Arial" w:cs="Arial" w:eastAsia="Arial" w:hAnsi="Arial"/>
          <w:b/>
          <w:bCs/>
          <w:sz w:val="28"/>
          <w:szCs w:val="28"/>
        </w:rPr>
        <w:t xml:space="preserve">Week 2 — Data 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Area</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Activity</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Outcome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Extraction</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Implemented PyMuPDF and Docling for PDF loading; tested on complex documents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Working document loader Jan 27</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Chunking R&amp;D</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Researched Fixed-size, Recursive, and Semantic chunking strategies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Strategy shortlist: Recursive + Semantic</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Upskilling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Curated 200+ external AI/ML resources for developers; submitted before deadline</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Submitted Jan 29</w:t>
            </w:r>
          </w:p>
        </w:tc>
      </w:tr>
    </w:tbl>
    <w:p>
      <w:r>
        <w:t xml:space="preserve"/>
      </w:r>
    </w:p>
    <w:p>
      <w:pPr>
        <w:pStyle w:val="Heading2"/>
        <w:spacing w:after="80" w:before="240"/>
      </w:pPr>
      <w:r>
        <w:rPr>
          <w:rFonts w:ascii="Arial" w:cs="Arial" w:eastAsia="Arial" w:hAnsi="Arial"/>
          <w:b/>
          <w:bCs/>
          <w:sz w:val="28"/>
          <w:szCs w:val="28"/>
        </w:rPr>
        <w:t xml:space="preserve">Week 3 — Multimodal Pipeline &amp; Image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Area</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Activity</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Outcome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Pipeline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Lightweight CPU pipeline: Docling + PyMuPDF + Moondream/Qwen2-vl:3b implemented</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Efficient CPU-bound stack operational Feb 3</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Images</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Extracted ~90 images from complex docs; AI-generated descriptions per image</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Image-to-text embedding pipeline working Feb 3</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Chunking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Integrated Docling HybridChunker for adaptive chunking</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Higher-precision retrieval chunks Feb 4</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Embedding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Stored AI-generated image descriptions as text embeddings using embeddinggemma</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Unified multimodal vector space Feb 5</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Upskilling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Launched first Upskilling Training session; Hiring Automation Tool demo (Gemini + Streamlit)</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Internal training programme running Feb 2</w:t>
            </w:r>
          </w:p>
        </w:tc>
      </w:tr>
    </w:tbl>
    <w:p>
      <w:r>
        <w:t xml:space="preserve"/>
      </w:r>
    </w:p>
    <w:p>
      <w:pPr>
        <w:pStyle w:val="Heading2"/>
        <w:spacing w:after="80" w:before="240"/>
      </w:pPr>
      <w:r>
        <w:rPr>
          <w:rFonts w:ascii="Arial" w:cs="Arial" w:eastAsia="Arial" w:hAnsi="Arial"/>
          <w:b/>
          <w:bCs/>
          <w:sz w:val="28"/>
          <w:szCs w:val="28"/>
        </w:rPr>
        <w:t xml:space="preserve">Weeks 4–5 — Retrieval Innovation: Hybrid + MMR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Area</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Activity</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Outcome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BM25</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Implemented BM25 retriever for lexical search as a fallback safety net</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Strong performance on exact drug names and codes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Semantic</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Dense retrieval via HuggingFace embeddings (BAAI/bge-base-en)</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Good broad-intent coverage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Hybrid</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BM25 + Dense fused using Reciprocal Rank Fusion (RRF)</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Best retrieval quality across query types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MMR</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Maximal Marginal Relevance reranking integrated post-RRF</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Prevents redundant chunks; context window efficiency improved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Dashboard</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RAG Search Lab UI built to visualise and compare retrieval strategies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Benchmarking tool for mentor demonstrations</w:t>
            </w:r>
          </w:p>
        </w:tc>
      </w:tr>
    </w:tbl>
    <w:p>
      <w:r>
        <w:t xml:space="preserve"/>
      </w:r>
    </w:p>
    <w:p>
      <w:pPr>
        <w:pStyle w:val="Heading2"/>
        <w:spacing w:after="80" w:before="240"/>
      </w:pPr>
      <w:r>
        <w:rPr>
          <w:rFonts w:ascii="Arial" w:cs="Arial" w:eastAsia="Arial" w:hAnsi="Arial"/>
          <w:b/>
          <w:bCs/>
          <w:sz w:val="28"/>
          <w:szCs w:val="28"/>
        </w:rPr>
        <w:t xml:space="preserve">Week 6 — Graph Database Integration (Neo4j)</w:t>
      </w:r>
    </w:p>
    <w:p>
      <w:pPr>
        <w:spacing w:after="80" w:before="80"/>
      </w:pPr>
      <w:r>
        <w:rPr>
          <w:rFonts w:ascii="Arial" w:cs="Arial" w:eastAsia="Arial" w:hAnsi="Arial"/>
          <w:sz w:val="22"/>
          <w:szCs w:val="22"/>
        </w:rPr>
        <w:t xml:space="preserve">This week marked the architectural pivot to Graph RAG, replacing the purely vector-based approach with a knowledge-graph-enriched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Area</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Activity</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Outcome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Architecture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Three-Tier Architecture defined: Ingestion, Embedding, Knowledge Graph</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pipeline blueprint created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Neo4j</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Graph schema designed; TCGA-SARC and Figshare datasets used to build knowledge nodes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Cancer, Drug, EatingAdverseEffect, FoodItem nodes live in Neo4j</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Mapping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patients.csv → AJCC/Enneking stages; reports_index.csv → MRI/CT file links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Patient data linked to graph entities</w:t>
            </w:r>
          </w:p>
        </w:tc>
      </w:tr>
    </w:tbl>
    <w:p>
      <w:r>
        <w:t xml:space="preserve"/>
      </w:r>
    </w:p>
    <w:p>
      <w:pPr>
        <w:pStyle w:val="Heading2"/>
        <w:spacing w:after="80" w:before="240"/>
      </w:pPr>
      <w:r>
        <w:rPr>
          <w:rFonts w:ascii="Arial" w:cs="Arial" w:eastAsia="Arial" w:hAnsi="Arial"/>
          <w:b/>
          <w:bCs/>
          <w:sz w:val="28"/>
          <w:szCs w:val="28"/>
        </w:rPr>
        <w:t xml:space="preserve">Week 7 — Model Evaluation: MedGemma &amp; Retrieval Comparison</w:t>
      </w:r>
    </w:p>
    <w:p>
      <w:pPr>
        <w:spacing w:after="80" w:before="80"/>
      </w:pPr>
      <w:r>
        <w:rPr>
          <w:rFonts w:ascii="Arial" w:cs="Arial" w:eastAsia="Arial" w:hAnsi="Arial"/>
          <w:sz w:val="22"/>
          <w:szCs w:val="22"/>
        </w:rPr>
        <w:t xml:space="preserve">Conducted comparative evaluation of models and retrieval strategies to inform the final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Method</w:t>
            </w:r>
          </w:p>
        </w:tc>
        <w:tc>
          <w:tcPr>
            <w:tcW w:type="dxa" w:w="252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Best Performance On</w:t>
            </w:r>
          </w:p>
        </w:tc>
        <w:tc>
          <w:tcPr>
            <w:tcW w:type="dxa" w:w="252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CPU Impact</w:t>
            </w:r>
          </w:p>
        </w:tc>
        <w:tc>
          <w:tcPr>
            <w:tcW w:type="dxa" w:w="252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Verdict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BM25</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Exact codes, acronyms, technical IDs</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Negligible</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Essential safety net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Semantic</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Broad questions, How-to intent</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Needs reranking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Hybrid</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Multi-topic PDFs, complex queries</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Winner for enterprise docs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MMR</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Long PDFs with repetitive sections</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Best for summarisation tasks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Model</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Task</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Key Finding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MedGemma 1.5 4B</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3D CT classification (CT-RATE)</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Macro F1: 27.0; Recall: 42.0</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MedGemma 1 27B</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2D CXR (MIMIC)</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Macro F1: 90.0 on top-5 conditions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LLaMA-3.3-70b (Groq)</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Answer generation</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Chosen for generation — strong reasoning, free API tier</w:t>
            </w:r>
          </w:p>
        </w:tc>
      </w:tr>
    </w:tbl>
    <w:p>
      <w:r>
        <w:t xml:space="preserve"/>
      </w:r>
    </w:p>
    <w:p>
      <w:pPr>
        <w:pStyle w:val="Heading2"/>
        <w:spacing w:after="80" w:before="240"/>
      </w:pPr>
      <w:r>
        <w:rPr>
          <w:rFonts w:ascii="Arial" w:cs="Arial" w:eastAsia="Arial" w:hAnsi="Arial"/>
          <w:b/>
          <w:bCs/>
          <w:sz w:val="28"/>
          <w:szCs w:val="28"/>
        </w:rPr>
        <w:t xml:space="preserve">Week 8 — RAGAS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Area</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Activity</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Outcome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Evaluation</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RAGAS integration for faithfulness, answer relevancy, context precision/recall</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Offline benchmark suite operational</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Golden Dataset</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Structured Q&amp;A dataset with 4 categories: graph, research, image, edge cases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Ground truth for reproducible scoring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Failure Analysis</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Component-level evaluation: pre-rerank, post-RRF, post-MMR</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Bottleneck isolation by retrieval stage</w:t>
            </w:r>
          </w:p>
        </w:tc>
      </w:tr>
    </w:tbl>
    <w:p>
      <w:r>
        <w:t xml:space="preserve"/>
      </w:r>
    </w:p>
    <w:p>
      <w:pPr>
        <w:pStyle w:val="Heading2"/>
        <w:spacing w:after="80" w:before="240"/>
      </w:pPr>
      <w:r>
        <w:rPr>
          <w:rFonts w:ascii="Arial" w:cs="Arial" w:eastAsia="Arial" w:hAnsi="Arial"/>
          <w:b/>
          <w:bCs/>
          <w:sz w:val="28"/>
          <w:szCs w:val="28"/>
        </w:rPr>
        <w:t xml:space="preserve">Weeks 9–11 — Three-Mode Graph RAG System</w:t>
      </w:r>
    </w:p>
    <w:p>
      <w:pPr>
        <w:spacing w:after="80" w:before="80"/>
      </w:pPr>
      <w:r>
        <w:rPr>
          <w:rFonts w:ascii="Arial" w:cs="Arial" w:eastAsia="Arial" w:hAnsi="Arial"/>
          <w:sz w:val="22"/>
          <w:szCs w:val="22"/>
        </w:rPr>
        <w:t xml:space="preserve">The pipeline evolved from a single retrieval path to a three-mode system driven by query intent. This is the core architectural innovation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Mode</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Path</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Best For</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RESEARCH</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PDF chunks only (BM25 + Dense + RRF + MMR)</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Survival rates, staging, clinical trial data</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GRAPH</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Neo4j Cypher queries first; small vector enrichment appended</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Drug–food interactions, nutrition protocols, side effects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AUTO</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Both paths merged; graph fires when medical entities detected</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Patient report analysis, hybrid clinical questions</w:t>
            </w:r>
          </w:p>
        </w:tc>
      </w:tr>
    </w:tbl>
    <w:p>
      <w:r>
        <w:t xml:space="preserve"/>
      </w:r>
    </w:p>
    <w:p>
      <w:pPr>
        <w:pStyle w:val="Heading2"/>
        <w:spacing w:after="80" w:before="240"/>
      </w:pPr>
      <w:r>
        <w:rPr>
          <w:rFonts w:ascii="Arial" w:cs="Arial" w:eastAsia="Arial" w:hAnsi="Arial"/>
          <w:b/>
          <w:bCs/>
          <w:sz w:val="28"/>
          <w:szCs w:val="28"/>
        </w:rPr>
        <w:t xml:space="preserve">Weeks 12–13 — Bug-Fix Release (v5.1) &amp; Evaluation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Fix</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Problem</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Solution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Image Retrieval (Fix 1)</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MMR dropping image chunks — they never reached the LLM</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Separate BM25 image index; image chunks bypass MMR entirely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Prompt Instructions (Fix 2)</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LLM skipping image tags — too weak a directive</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Restored mandatory MUST/ALWAYS language; dedicated Visual References block in prompt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Web Fallback Logic (Fix 3)</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_rag_has_no_answer() missing buried "I don't know" phrases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Three-tier detection: short answer, multiple phrases, pattern match</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Fallback Presentation (Fix 4)</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Failed RAG answer prepended before web result — confusing</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Web answer stands alone when RAG empty; clearly labelled otherwise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DuckDuckGo Query (Fix 5)</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"medical oncology" suffix adding noise on specific queries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Appended only when query lacks medical terms</w:t>
            </w:r>
          </w:p>
        </w:tc>
      </w:tr>
    </w:tbl>
    <w:p>
      <w:pPr>
        <w:pBdr>
          <w:bottom w:val="single" w:color="AAAAAA" w:sz="4"/>
        </w:pBdr>
        <w:spacing w:after="160" w:before="160"/>
      </w:pPr>
      <w:r>
        <w:t xml:space="preserve"/>
      </w:r>
    </w:p>
    <w:p>
      <w:pPr>
        <w:pStyle w:val="Heading1"/>
        <w:spacing w:after="120" w:before="360"/>
      </w:pPr>
      <w:r>
        <w:rPr>
          <w:rFonts w:ascii="Arial" w:cs="Arial" w:eastAsia="Arial" w:hAnsi="Arial"/>
          <w:b/>
          <w:bCs/>
          <w:sz w:val="36"/>
          <w:szCs w:val="36"/>
        </w:rPr>
        <w:t xml:space="preserve">3. Key Engineering Insights</w:t>
      </w:r>
    </w:p>
    <w:p>
      <w:pPr>
        <w:spacing w:after="80" w:before="80"/>
      </w:pPr>
      <w:r>
        <w:rPr>
          <w:rFonts w:ascii="Arial" w:cs="Arial" w:eastAsia="Arial" w:hAnsi="Arial"/>
          <w:sz w:val="22"/>
          <w:szCs w:val="22"/>
        </w:rPr>
        <w:t xml:space="preserve">These are the non-obvious learnings derived from building this system — the kind that only emerge when theory meets real hardware and real data.</w:t>
      </w:r>
    </w:p>
    <w:p>
      <w:r>
        <w:t xml:space="preserve"/>
      </w:r>
    </w:p>
    <w:p>
      <w:pPr>
        <w:pStyle w:val="Heading2"/>
        <w:spacing w:after="80" w:before="240"/>
      </w:pPr>
      <w:r>
        <w:rPr>
          <w:rFonts w:ascii="Arial" w:cs="Arial" w:eastAsia="Arial" w:hAnsi="Arial"/>
          <w:b/>
          <w:bCs/>
          <w:sz w:val="28"/>
          <w:szCs w:val="28"/>
        </w:rPr>
        <w:t xml:space="preserve">3.1 Retrieval Design</w:t>
      </w:r>
    </w:p>
    <w:p>
      <w:pPr>
        <w:pStyle w:val="Heading3"/>
        <w:spacing w:after="60" w:before="180"/>
      </w:pPr>
      <w:r>
        <w:rPr>
          <w:rFonts w:ascii="Arial" w:cs="Arial" w:eastAsia="Arial" w:hAnsi="Arial"/>
          <w:b/>
          <w:bCs/>
          <w:sz w:val="24"/>
          <w:szCs w:val="24"/>
        </w:rPr>
        <w:t xml:space="preserve">Hybrid BM25 + Dense is non-negotiable for medical text</w:t>
      </w:r>
    </w:p>
    <w:p>
      <w:pPr>
        <w:spacing w:after="80" w:before="80"/>
      </w:pPr>
      <w:r>
        <w:rPr>
          <w:rFonts w:ascii="Arial" w:cs="Arial" w:eastAsia="Arial" w:hAnsi="Arial"/>
          <w:sz w:val="22"/>
          <w:szCs w:val="22"/>
        </w:rPr>
        <w:t xml:space="preserve">Drug names like "pemetrexed" or protocol codes like "AC-T" are exact-match critical — a purely semantic retriever will miss them or rank them lower than semantically similar but irrelevant results. BM25 acts as the safety net. RRF then normalises scores (BM25 outputs 0–10+; dense outputs 0–1) so neither strategy dominates the other.</w:t>
      </w:r>
    </w:p>
    <w:p>
      <w:r>
        <w:t xml:space="preserve"/>
      </w:r>
    </w:p>
    <w:p>
      <w:pPr>
        <w:pStyle w:val="Heading3"/>
        <w:spacing w:after="60" w:before="180"/>
      </w:pPr>
      <w:r>
        <w:rPr>
          <w:rFonts w:ascii="Arial" w:cs="Arial" w:eastAsia="Arial" w:hAnsi="Arial"/>
          <w:b/>
          <w:bCs/>
          <w:sz w:val="24"/>
          <w:szCs w:val="24"/>
        </w:rPr>
        <w:t xml:space="preserve">MMR is essential, not optional, for clinical context</w:t>
      </w:r>
    </w:p>
    <w:p>
      <w:pPr>
        <w:spacing w:after="80" w:before="80"/>
      </w:pPr>
      <w:r>
        <w:rPr>
          <w:rFonts w:ascii="Arial" w:cs="Arial" w:eastAsia="Arial" w:hAnsi="Arial"/>
          <w:sz w:val="22"/>
          <w:szCs w:val="22"/>
        </w:rPr>
        <w:t xml:space="preserve">Without MMR, the top 8 chunks retrieved by RRF are often minor paraphrases of the same passage. This wastes the LLM context window and causes the model to generate answers that repeat the same fact with false confidence. Setting λ = 0.6 (slightly relevance-weighted) produced the best clinical diversity in testing.</w:t>
      </w:r>
    </w:p>
    <w:p>
      <w:r>
        <w:t xml:space="preserve"/>
      </w:r>
    </w:p>
    <w:p>
      <w:pPr>
        <w:pStyle w:val="Heading3"/>
        <w:spacing w:after="60" w:before="180"/>
      </w:pPr>
      <w:r>
        <w:rPr>
          <w:rFonts w:ascii="Arial" w:cs="Arial" w:eastAsia="Arial" w:hAnsi="Arial"/>
          <w:b/>
          <w:bCs/>
          <w:sz w:val="24"/>
          <w:szCs w:val="24"/>
        </w:rPr>
        <w:t xml:space="preserve">Image chunks must have a dedicated retrieval path</w:t>
      </w:r>
    </w:p>
    <w:p>
      <w:pPr>
        <w:spacing w:after="80" w:before="80"/>
      </w:pPr>
      <w:r>
        <w:rPr>
          <w:rFonts w:ascii="Arial" w:cs="Arial" w:eastAsia="Arial" w:hAnsi="Arial"/>
          <w:sz w:val="22"/>
          <w:szCs w:val="22"/>
        </w:rPr>
        <w:t xml:space="preserve">The single most important architectural fix in this project was separating image chunk retrieval from content chunk retrieval. Image chunks describe figures and tables — they are inherently shorter and score lower on semantic similarity than full prose paragraphs. Under a shared MMR pipeline, they always lost. The fix: build a separate BM25 index containing only has_image_tags=True chunks, retrieve top 3, and inject them into context after the main retrieval loop as a dedicated "## Visual References" section.</w:t>
      </w:r>
    </w:p>
    <w:p>
      <w:r>
        <w:t xml:space="preserve"/>
      </w:r>
    </w:p>
    <w:p>
      <w:pPr>
        <w:pStyle w:val="Heading3"/>
        <w:spacing w:after="60" w:before="180"/>
      </w:pPr>
      <w:r>
        <w:rPr>
          <w:rFonts w:ascii="Arial" w:cs="Arial" w:eastAsia="Arial" w:hAnsi="Arial"/>
          <w:b/>
          <w:bCs/>
          <w:sz w:val="24"/>
          <w:szCs w:val="24"/>
        </w:rPr>
        <w:t xml:space="preserve">Context window management matters at Groq's free tier</w:t>
      </w:r>
    </w:p>
    <w:p>
      <w:pPr>
        <w:spacing w:after="80" w:before="80"/>
      </w:pPr>
      <w:r>
        <w:rPr>
          <w:rFonts w:ascii="Arial" w:cs="Arial" w:eastAsia="Arial" w:hAnsi="Arial"/>
          <w:sz w:val="22"/>
          <w:szCs w:val="22"/>
        </w:rPr>
        <w:t xml:space="preserve">Groq's free API has a 6,000 TPM (tokens per minute) limit. Passing all retrieved chunks unfiltered caused rate limit errors during RAGAS evaluation. The fix was capping contexts at 3 per query during evaluation — a constraint that also improved evaluation reliability by reducing LLM confusion from excessive context.</w:t>
      </w:r>
    </w:p>
    <w:p>
      <w:r>
        <w:t xml:space="preserve"/>
      </w:r>
    </w:p>
    <w:p>
      <w:pPr>
        <w:pStyle w:val="Heading2"/>
        <w:spacing w:after="80" w:before="240"/>
      </w:pPr>
      <w:r>
        <w:rPr>
          <w:rFonts w:ascii="Arial" w:cs="Arial" w:eastAsia="Arial" w:hAnsi="Arial"/>
          <w:b/>
          <w:bCs/>
          <w:sz w:val="28"/>
          <w:szCs w:val="28"/>
        </w:rPr>
        <w:t xml:space="preserve">3.2 Chunking &amp; Ingestion</w:t>
      </w:r>
    </w:p>
    <w:p>
      <w:pPr>
        <w:pStyle w:val="Heading3"/>
        <w:spacing w:after="60" w:before="180"/>
      </w:pPr>
      <w:r>
        <w:rPr>
          <w:rFonts w:ascii="Arial" w:cs="Arial" w:eastAsia="Arial" w:hAnsi="Arial"/>
          <w:b/>
          <w:bCs/>
          <w:sz w:val="24"/>
          <w:szCs w:val="24"/>
        </w:rPr>
        <w:t xml:space="preserve">Two-stage chunking (Header-aware → Recursive) beats single-stage</w:t>
      </w:r>
    </w:p>
    <w:p>
      <w:pPr>
        <w:spacing w:after="80" w:before="80"/>
      </w:pPr>
      <w:r>
        <w:rPr>
          <w:rFonts w:ascii="Arial" w:cs="Arial" w:eastAsia="Arial" w:hAnsi="Arial"/>
          <w:sz w:val="22"/>
          <w:szCs w:val="22"/>
        </w:rPr>
        <w:t xml:space="preserve">MarkdownHeaderTextSplitter first splits on H1/H2/H3 boundaries, preserving section context in metadata. RecursiveCharacterTextSplitter then handles large sections. This produces chunks with accurate section_hierarchy metadata, which is critical for the LLM to know whether a chunk comes from Methods, Results, or Discussion.</w:t>
      </w:r>
    </w:p>
    <w:p>
      <w:r>
        <w:t xml:space="preserve"/>
      </w:r>
    </w:p>
    <w:p>
      <w:pPr>
        <w:pStyle w:val="Heading3"/>
        <w:spacing w:after="60" w:before="180"/>
      </w:pPr>
      <w:r>
        <w:rPr>
          <w:rFonts w:ascii="Arial" w:cs="Arial" w:eastAsia="Arial" w:hAnsi="Arial"/>
          <w:b/>
          <w:bCs/>
          <w:sz w:val="24"/>
          <w:szCs w:val="24"/>
        </w:rPr>
        <w:t xml:space="preserve">The 12-step text cleaner is not overkill</w:t>
      </w:r>
    </w:p>
    <w:p>
      <w:pPr>
        <w:spacing w:after="80" w:before="80"/>
      </w:pPr>
      <w:r>
        <w:rPr>
          <w:rFonts w:ascii="Arial" w:cs="Arial" w:eastAsia="Arial" w:hAnsi="Arial"/>
          <w:sz w:val="22"/>
          <w:szCs w:val="22"/>
        </w:rPr>
        <w:t xml:space="preserve">Medical PDFs extracted with PyMuPDF contain a surprising variety of corruption: mathematical bold Unicode digits (U+1D7CE–U+1D7D7) rendering as garbage, ligature glyphs (/uniFB01 for "fi"), running journal headers repeated on every page, isolated page numbers, and DOI lines. Each of these, if left uncleaned, creates noise in embeddings and confuses BM25 tokenisation. Each cleaning step targets a specific real failure observed in the corpus.</w:t>
      </w:r>
    </w:p>
    <w:p>
      <w:r>
        <w:t xml:space="preserve"/>
      </w:r>
    </w:p>
    <w:p>
      <w:pPr>
        <w:pStyle w:val="Heading3"/>
        <w:spacing w:after="60" w:before="180"/>
      </w:pPr>
      <w:r>
        <w:rPr>
          <w:rFonts w:ascii="Arial" w:cs="Arial" w:eastAsia="Arial" w:hAnsi="Arial"/>
          <w:b/>
          <w:bCs/>
          <w:sz w:val="24"/>
          <w:szCs w:val="24"/>
        </w:rPr>
        <w:t xml:space="preserve">[IMAGE:] tag injection into the markdown creates a retrievable visual index</w:t>
      </w:r>
    </w:p>
    <w:p>
      <w:pPr>
        <w:spacing w:after="80" w:before="80"/>
      </w:pPr>
      <w:r>
        <w:rPr>
          <w:rFonts w:ascii="Arial" w:cs="Arial" w:eastAsia="Arial" w:hAnsi="Arial"/>
          <w:sz w:val="22"/>
          <w:szCs w:val="22"/>
        </w:rPr>
        <w:t xml:space="preserve">After extracting images from a PDF, the system appends a "## Extracted Visual Assets Database" section to the cleaned markdown before chunking. This section contains "[IMAGE: filename.png]" tags with captions. When chunked, these tags become part of the text corpus — BM25 can find them, the LLM sees them in context, and the Streamlit renderer converts them to actual displayed images. This avoids any separate image retrieval database.</w:t>
      </w:r>
    </w:p>
    <w:p>
      <w:r>
        <w:t xml:space="preserve"/>
      </w:r>
    </w:p>
    <w:p>
      <w:pPr>
        <w:pStyle w:val="Heading3"/>
        <w:spacing w:after="60" w:before="180"/>
      </w:pPr>
      <w:r>
        <w:rPr>
          <w:rFonts w:ascii="Arial" w:cs="Arial" w:eastAsia="Arial" w:hAnsi="Arial"/>
          <w:b/>
          <w:bCs/>
          <w:sz w:val="24"/>
          <w:szCs w:val="24"/>
        </w:rPr>
        <w:t xml:space="preserve">Docling outperforms all other loaders for complex medical PDFs</w:t>
      </w:r>
    </w:p>
    <w:p>
      <w:pPr>
        <w:spacing w:after="80" w:before="80"/>
      </w:pPr>
      <w:r>
        <w:rPr>
          <w:rFonts w:ascii="Arial" w:cs="Arial" w:eastAsia="Arial" w:hAnsi="Arial"/>
          <w:sz w:val="22"/>
          <w:szCs w:val="22"/>
        </w:rPr>
        <w:t xml:space="preserve">After testing PyPDF, PDFPlumber, PyPDFium2, PyMuPDF, and Docling against documents with mixed tables, figures, and columns: Docling was the only loader that consistently extracted table content in a structured, LLM-readable format. The combination of Docling + PyMuPDF + RapidOCR was the best overall pipeline — Docling for tables and text, PyMuPDF for image extraction, RapidOCR for scanned pages.</w:t>
      </w:r>
    </w:p>
    <w:p>
      <w:r>
        <w:t xml:space="preserve"/>
      </w:r>
    </w:p>
    <w:p>
      <w:pPr>
        <w:pStyle w:val="Heading2"/>
        <w:spacing w:after="80" w:before="240"/>
      </w:pPr>
      <w:r>
        <w:rPr>
          <w:rFonts w:ascii="Arial" w:cs="Arial" w:eastAsia="Arial" w:hAnsi="Arial"/>
          <w:b/>
          <w:bCs/>
          <w:sz w:val="28"/>
          <w:szCs w:val="28"/>
        </w:rPr>
        <w:t xml:space="preserve">3.3 Graph RAG Integration</w:t>
      </w:r>
    </w:p>
    <w:p>
      <w:pPr>
        <w:pStyle w:val="Heading3"/>
        <w:spacing w:after="60" w:before="180"/>
      </w:pPr>
      <w:r>
        <w:rPr>
          <w:rFonts w:ascii="Arial" w:cs="Arial" w:eastAsia="Arial" w:hAnsi="Arial"/>
          <w:b/>
          <w:bCs/>
          <w:sz w:val="24"/>
          <w:szCs w:val="24"/>
        </w:rPr>
        <w:t xml:space="preserve">Deterministic intent detection beats ML classification for graph routing</w:t>
      </w:r>
    </w:p>
    <w:p>
      <w:pPr>
        <w:spacing w:after="80" w:before="80"/>
      </w:pPr>
      <w:r>
        <w:rPr>
          <w:rFonts w:ascii="Arial" w:cs="Arial" w:eastAsia="Arial" w:hAnsi="Arial"/>
          <w:sz w:val="22"/>
          <w:szCs w:val="22"/>
        </w:rPr>
        <w:t xml:space="preserve">Rather than using an LLM or a classifier to decide whether a query should hit the knowledge graph, the system uses exact substring matching against KNOWN_CANCERS, KNOWN_CHEMO_DRUGS, KNOWN_NON_CHEMO_DRUGS, and FOOD_KEYWORDS from config.py. This approach has zero latency, zero cost, and produces predictable routing. The tradeoff is that it misses paraphrases ("carboplatin and grapefruit" would match; "platinum drug and citrus" would not). For a medical assistant, this predictability is preferable to occasional misrouting.</w:t>
      </w:r>
    </w:p>
    <w:p>
      <w:r>
        <w:t xml:space="preserve"/>
      </w:r>
    </w:p>
    <w:p>
      <w:pPr>
        <w:pStyle w:val="Heading3"/>
        <w:spacing w:after="60" w:before="180"/>
      </w:pPr>
      <w:r>
        <w:rPr>
          <w:rFonts w:ascii="Arial" w:cs="Arial" w:eastAsia="Arial" w:hAnsi="Arial"/>
          <w:b/>
          <w:bCs/>
          <w:sz w:val="24"/>
          <w:szCs w:val="24"/>
        </w:rPr>
        <w:t xml:space="preserve">Six Cypher queries cover 95% of clinical nutrition questions</w:t>
      </w:r>
    </w:p>
    <w:p>
      <w:pPr>
        <w:spacing w:after="80" w:before="80"/>
      </w:pPr>
      <w:r>
        <w:rPr>
          <w:rFonts w:ascii="Arial" w:cs="Arial" w:eastAsia="Arial" w:hAnsi="Arial"/>
          <w:sz w:val="22"/>
          <w:szCs w:val="22"/>
        </w:rPr>
        <w:t xml:space="preserve">Rather than generating Cypher from natural language (which is error-prone with open-source LLMs), six pre-written query templates handle the six intent categories: cancer drugs and effects, food guidance per drug, non-chemo drug interactions, treatment protocol details, drug–drug interactions, and fulltext general fallback. Pre-written queries also guarantee consistent formatting of the [G1], [G2] context blocks the LLM is trained to cite.</w:t>
      </w:r>
    </w:p>
    <w:p>
      <w:r>
        <w:t xml:space="preserve"/>
      </w:r>
    </w:p>
    <w:p>
      <w:pPr>
        <w:pStyle w:val="Heading3"/>
        <w:spacing w:after="60" w:before="180"/>
      </w:pPr>
      <w:r>
        <w:rPr>
          <w:rFonts w:ascii="Arial" w:cs="Arial" w:eastAsia="Arial" w:hAnsi="Arial"/>
          <w:b/>
          <w:bCs/>
          <w:sz w:val="24"/>
          <w:szCs w:val="24"/>
        </w:rPr>
        <w:t xml:space="preserve">Graph context must be placed before vector chunks in the prompt</w:t>
      </w:r>
    </w:p>
    <w:p>
      <w:pPr>
        <w:spacing w:after="80" w:before="80"/>
      </w:pPr>
      <w:r>
        <w:rPr>
          <w:rFonts w:ascii="Arial" w:cs="Arial" w:eastAsia="Arial" w:hAnsi="Arial"/>
          <w:sz w:val="22"/>
          <w:szCs w:val="22"/>
        </w:rPr>
        <w:t xml:space="preserve">When both graph and vector content are present, placing the graph section first causes the LLM to build its mental model of entity relationships before reading the narrative chunks. This resulted in more accurate citations of [G1] entries in answers about drug interactions, where the relational structure is the key information.</w:t>
      </w:r>
    </w:p>
    <w:p>
      <w:r>
        <w:t xml:space="preserve"/>
      </w:r>
    </w:p>
    <w:p>
      <w:pPr>
        <w:pStyle w:val="Heading2"/>
        <w:spacing w:after="80" w:before="240"/>
      </w:pPr>
      <w:r>
        <w:rPr>
          <w:rFonts w:ascii="Arial" w:cs="Arial" w:eastAsia="Arial" w:hAnsi="Arial"/>
          <w:b/>
          <w:bCs/>
          <w:sz w:val="28"/>
          <w:szCs w:val="28"/>
        </w:rPr>
        <w:t xml:space="preserve">3.4 Evaluation Approach</w:t>
      </w:r>
    </w:p>
    <w:p>
      <w:pPr>
        <w:pStyle w:val="Heading3"/>
        <w:spacing w:after="60" w:before="180"/>
      </w:pPr>
      <w:r>
        <w:rPr>
          <w:rFonts w:ascii="Arial" w:cs="Arial" w:eastAsia="Arial" w:hAnsi="Arial"/>
          <w:b/>
          <w:bCs/>
          <w:sz w:val="24"/>
          <w:szCs w:val="24"/>
        </w:rPr>
        <w:t xml:space="preserve">RAGAS requires the official explodinggradients package, not the fork</w:t>
      </w:r>
    </w:p>
    <w:p>
      <w:pPr>
        <w:spacing w:after="80" w:before="80"/>
      </w:pPr>
      <w:r>
        <w:rPr>
          <w:rFonts w:ascii="Arial" w:cs="Arial" w:eastAsia="Arial" w:hAnsi="Arial"/>
          <w:sz w:val="22"/>
          <w:szCs w:val="22"/>
        </w:rPr>
        <w:t xml:space="preserve">There are two packages named "ragas" on PyPI. The vibrantlabsai fork (ragas 0.4.x) has a Faithfulness class that does not inherit from ragas.metrics.base.Metric, causing evaluate() to raise "All metrics must be initialised metric objects." Install ragas==0.2.6 from explodinggradients for the module-level singleton metrics (faithfulness, answer_relevancy, etc.) that pass the isinstance check.</w:t>
      </w:r>
    </w:p>
    <w:p>
      <w:r>
        <w:t xml:space="preserve"/>
      </w:r>
    </w:p>
    <w:p>
      <w:pPr>
        <w:pStyle w:val="Heading3"/>
        <w:spacing w:after="60" w:before="180"/>
      </w:pPr>
      <w:r>
        <w:rPr>
          <w:rFonts w:ascii="Arial" w:cs="Arial" w:eastAsia="Arial" w:hAnsi="Arial"/>
          <w:b/>
          <w:bCs/>
          <w:sz w:val="24"/>
          <w:szCs w:val="24"/>
        </w:rPr>
        <w:t xml:space="preserve">The RAGAS judge LLM selection materially affects scores</w:t>
      </w:r>
    </w:p>
    <w:p>
      <w:pPr>
        <w:spacing w:after="80" w:before="80"/>
      </w:pPr>
      <w:r>
        <w:rPr>
          <w:rFonts w:ascii="Arial" w:cs="Arial" w:eastAsia="Arial" w:hAnsi="Arial"/>
          <w:sz w:val="22"/>
          <w:szCs w:val="22"/>
        </w:rPr>
        <w:t xml:space="preserve">Using llama-3.1-8b-instant as the RAGAS judge (for cost reasons) produces lower faithfulness scores than llama-3.3-70b-versatile for the same answers. This is because faithfulness requires NLI-style claim verification — a capability where 8B models are weaker. Log the judge model in every evaluation run to ensure score comparisons are apples-to-apples.</w:t>
      </w:r>
    </w:p>
    <w:p>
      <w:r>
        <w:t xml:space="preserve"/>
      </w:r>
    </w:p>
    <w:p>
      <w:pPr>
        <w:pStyle w:val="Heading3"/>
        <w:spacing w:after="60" w:before="180"/>
      </w:pPr>
      <w:r>
        <w:rPr>
          <w:rFonts w:ascii="Arial" w:cs="Arial" w:eastAsia="Arial" w:hAnsi="Arial"/>
          <w:b/>
          <w:bCs/>
          <w:sz w:val="24"/>
          <w:szCs w:val="24"/>
        </w:rPr>
        <w:t xml:space="preserve">Three-tier web fallback detection is the right architecture</w:t>
      </w:r>
    </w:p>
    <w:p>
      <w:pPr>
        <w:spacing w:after="80" w:before="80"/>
      </w:pPr>
      <w:r>
        <w:rPr>
          <w:rFonts w:ascii="Arial" w:cs="Arial" w:eastAsia="Arial" w:hAnsi="Arial"/>
          <w:sz w:val="22"/>
          <w:szCs w:val="22"/>
        </w:rPr>
        <w:t xml:space="preserve">A single phrase-matching check for "I don't have enough information" misses approximately 40% of inadequate answers because LLMs embed their acknowledgement of ignorance in longer paragraphs. The three-tier system (short answer + any phrase → fallback; long answer + multiple phrases → fallback; specific regex patterns → fallback) correctly identified all edge case failures in the test set.</w:t>
      </w:r>
    </w:p>
    <w:p>
      <w:pPr>
        <w:pBdr>
          <w:bottom w:val="single" w:color="AAAAAA" w:sz="4"/>
        </w:pBdr>
        <w:spacing w:after="160" w:before="160"/>
      </w:pPr>
      <w:r>
        <w:t xml:space="preserve"/>
      </w:r>
    </w:p>
    <w:p>
      <w:pPr>
        <w:pStyle w:val="Heading1"/>
        <w:spacing w:after="120" w:before="360"/>
      </w:pPr>
      <w:r>
        <w:rPr>
          <w:rFonts w:ascii="Arial" w:cs="Arial" w:eastAsia="Arial" w:hAnsi="Arial"/>
          <w:b/>
          <w:bCs/>
          <w:sz w:val="36"/>
          <w:szCs w:val="36"/>
        </w:rPr>
        <w:t xml:space="preserve">4. Challenges Faced</w:t>
      </w:r>
    </w:p>
    <w:p>
      <w:r>
        <w:t xml:space="preserve"/>
      </w:r>
    </w:p>
    <w:p>
      <w:pPr>
        <w:pStyle w:val="Heading2"/>
        <w:spacing w:after="80" w:before="240"/>
      </w:pPr>
      <w:r>
        <w:rPr>
          <w:rFonts w:ascii="Arial" w:cs="Arial" w:eastAsia="Arial" w:hAnsi="Arial"/>
          <w:b/>
          <w:bCs/>
          <w:sz w:val="28"/>
          <w:szCs w:val="28"/>
        </w:rPr>
        <w:t xml:space="preserve">4.1 Hardware Constraints</w:t>
      </w:r>
    </w:p>
    <w:p>
      <w:pPr>
        <w:pStyle w:val="ListParagraph"/>
        <w:numPr>
          <w:ilvl w:val="0"/>
          <w:numId w:val="2"/>
        </w:numPr>
        <w:spacing w:after="60" w:before="60"/>
      </w:pPr>
      <w:r>
        <w:rPr>
          <w:rFonts w:ascii="Arial" w:cs="Arial" w:eastAsia="Arial" w:hAnsi="Arial"/>
          <w:sz w:val="22"/>
          <w:szCs w:val="22"/>
        </w:rPr>
        <w:t xml:space="preserve">Hardware profile: Intel i5 11th Gen, no discrete GPU, &lt;10 GB available RAM — making GPU-accelerated models unusable throughout the project</w:t>
      </w:r>
    </w:p>
    <w:p>
      <w:pPr>
        <w:pStyle w:val="ListParagraph"/>
        <w:numPr>
          <w:ilvl w:val="0"/>
          <w:numId w:val="2"/>
        </w:numPr>
        <w:spacing w:after="60" w:before="60"/>
      </w:pPr>
      <w:r>
        <w:rPr>
          <w:rFonts w:ascii="Arial" w:cs="Arial" w:eastAsia="Arial" w:hAnsi="Arial"/>
          <w:sz w:val="22"/>
          <w:szCs w:val="22"/>
        </w:rPr>
        <w:t xml:space="preserve">OOM (Out of Memory) errors during inference required careful sequential processing — one document at a time with explicit garbage collection between operations</w:t>
      </w:r>
    </w:p>
    <w:p>
      <w:pPr>
        <w:pStyle w:val="ListParagraph"/>
        <w:numPr>
          <w:ilvl w:val="0"/>
          <w:numId w:val="2"/>
        </w:numPr>
        <w:spacing w:after="60" w:before="60"/>
      </w:pPr>
      <w:r>
        <w:rPr>
          <w:rFonts w:ascii="Arial" w:cs="Arial" w:eastAsia="Arial" w:hAnsi="Arial"/>
          <w:sz w:val="22"/>
          <w:szCs w:val="22"/>
        </w:rPr>
        <w:t xml:space="preserve">FP32 models were unusable; INT8/4-bit quantisation became a necessity rather than an option</w:t>
      </w:r>
    </w:p>
    <w:p>
      <w:pPr>
        <w:pStyle w:val="ListParagraph"/>
        <w:numPr>
          <w:ilvl w:val="0"/>
          <w:numId w:val="2"/>
        </w:numPr>
        <w:spacing w:after="60" w:before="60"/>
      </w:pPr>
      <w:r>
        <w:rPr>
          <w:rFonts w:ascii="Arial" w:cs="Arial" w:eastAsia="Arial" w:hAnsi="Arial"/>
          <w:sz w:val="22"/>
          <w:szCs w:val="22"/>
        </w:rPr>
        <w:t xml:space="preserve">Windows development environment (VS Code) added background RAM pressure vs. a lightweight Linux setup</w:t>
      </w:r>
    </w:p>
    <w:p>
      <w:r>
        <w:t xml:space="preserve"/>
      </w:r>
    </w:p>
    <w:p>
      <w:pPr>
        <w:pStyle w:val="Heading2"/>
        <w:spacing w:after="80" w:before="240"/>
      </w:pPr>
      <w:r>
        <w:rPr>
          <w:rFonts w:ascii="Arial" w:cs="Arial" w:eastAsia="Arial" w:hAnsi="Arial"/>
          <w:b/>
          <w:bCs/>
          <w:sz w:val="28"/>
          <w:szCs w:val="28"/>
        </w:rPr>
        <w:t xml:space="preserve">4.2 API &amp; Rate Limiting</w:t>
      </w:r>
    </w:p>
    <w:p>
      <w:pPr>
        <w:pStyle w:val="ListParagraph"/>
        <w:numPr>
          <w:ilvl w:val="0"/>
          <w:numId w:val="2"/>
        </w:numPr>
        <w:spacing w:after="60" w:before="60"/>
      </w:pPr>
      <w:r>
        <w:rPr>
          <w:rFonts w:ascii="Arial" w:cs="Arial" w:eastAsia="Arial" w:hAnsi="Arial"/>
          <w:sz w:val="22"/>
          <w:szCs w:val="22"/>
        </w:rPr>
        <w:t xml:space="preserve">Groq free tier: 6,000 TPM limit caused RAGAS evaluation failures when passing full retrieved contexts</w:t>
      </w:r>
    </w:p>
    <w:p>
      <w:pPr>
        <w:pStyle w:val="ListParagraph"/>
        <w:numPr>
          <w:ilvl w:val="0"/>
          <w:numId w:val="2"/>
        </w:numPr>
        <w:spacing w:after="60" w:before="60"/>
      </w:pPr>
      <w:r>
        <w:rPr>
          <w:rFonts w:ascii="Arial" w:cs="Arial" w:eastAsia="Arial" w:hAnsi="Arial"/>
          <w:sz w:val="22"/>
          <w:szCs w:val="22"/>
        </w:rPr>
        <w:t xml:space="preserve">DuckDuckGo search occasionally returned empty results or rate-limited under rapid sequential queries during evaluation runs</w:t>
      </w:r>
    </w:p>
    <w:p>
      <w:pPr>
        <w:pStyle w:val="ListParagraph"/>
        <w:numPr>
          <w:ilvl w:val="0"/>
          <w:numId w:val="2"/>
        </w:numPr>
        <w:spacing w:after="60" w:before="60"/>
      </w:pPr>
      <w:r>
        <w:rPr>
          <w:rFonts w:ascii="Arial" w:cs="Arial" w:eastAsia="Arial" w:hAnsi="Arial"/>
          <w:sz w:val="22"/>
          <w:szCs w:val="22"/>
        </w:rPr>
        <w:t xml:space="preserve">Neo4j Aura free tier introduced latency of 2–5 minutes for bulk chunk ingestion (~900 chunks), requiring batched upsert with progress tracking</w:t>
      </w:r>
    </w:p>
    <w:p>
      <w:r>
        <w:t xml:space="preserve"/>
      </w:r>
    </w:p>
    <w:p>
      <w:pPr>
        <w:pStyle w:val="Heading2"/>
        <w:spacing w:after="80" w:before="240"/>
      </w:pPr>
      <w:r>
        <w:rPr>
          <w:rFonts w:ascii="Arial" w:cs="Arial" w:eastAsia="Arial" w:hAnsi="Arial"/>
          <w:b/>
          <w:bCs/>
          <w:sz w:val="28"/>
          <w:szCs w:val="28"/>
        </w:rPr>
        <w:t xml:space="preserve">4.3 Package &amp; Integration Issues</w:t>
      </w:r>
    </w:p>
    <w:p>
      <w:pPr>
        <w:pStyle w:val="ListParagraph"/>
        <w:numPr>
          <w:ilvl w:val="0"/>
          <w:numId w:val="2"/>
        </w:numPr>
        <w:spacing w:after="60" w:before="60"/>
      </w:pPr>
      <w:r>
        <w:rPr>
          <w:rFonts w:ascii="Arial" w:cs="Arial" w:eastAsia="Arial" w:hAnsi="Arial"/>
          <w:sz w:val="22"/>
          <w:szCs w:val="22"/>
        </w:rPr>
        <w:t xml:space="preserve">ragas PyPI naming conflict: two incompatible packages share the same name; the fork silently breaks evaluate() at runtime without a clear error message</w:t>
      </w:r>
    </w:p>
    <w:p>
      <w:pPr>
        <w:pStyle w:val="ListParagraph"/>
        <w:numPr>
          <w:ilvl w:val="0"/>
          <w:numId w:val="2"/>
        </w:numPr>
        <w:spacing w:after="60" w:before="60"/>
      </w:pPr>
      <w:r>
        <w:rPr>
          <w:rFonts w:ascii="Arial" w:cs="Arial" w:eastAsia="Arial" w:hAnsi="Arial"/>
          <w:sz w:val="22"/>
          <w:szCs w:val="22"/>
        </w:rPr>
        <w:t xml:space="preserve">LangChain API changes between versions affected Neo4jVector and BM25Retriever import paths; required pinning specific versions</w:t>
      </w:r>
    </w:p>
    <w:p>
      <w:pPr>
        <w:pStyle w:val="ListParagraph"/>
        <w:numPr>
          <w:ilvl w:val="0"/>
          <w:numId w:val="2"/>
        </w:numPr>
        <w:spacing w:after="60" w:before="60"/>
      </w:pPr>
      <w:r>
        <w:rPr>
          <w:rFonts w:ascii="Arial" w:cs="Arial" w:eastAsia="Arial" w:hAnsi="Arial"/>
          <w:sz w:val="22"/>
          <w:szCs w:val="22"/>
        </w:rPr>
        <w:t xml:space="preserve">spaCy medical NER model (en_core_sci_sm) unavailable on restricted hardware; fell back to en_core_web_sm with reduced entity coverage</w:t>
      </w:r>
    </w:p>
    <w:p>
      <w:pPr>
        <w:pStyle w:val="ListParagraph"/>
        <w:numPr>
          <w:ilvl w:val="0"/>
          <w:numId w:val="2"/>
        </w:numPr>
        <w:spacing w:after="60" w:before="60"/>
      </w:pPr>
      <w:r>
        <w:rPr>
          <w:rFonts w:ascii="Arial" w:cs="Arial" w:eastAsia="Arial" w:hAnsi="Arial"/>
          <w:sz w:val="22"/>
          <w:szCs w:val="22"/>
        </w:rPr>
        <w:t xml:space="preserve">EasyOCR required a 2–3 minute initialisation on CPU for scanned pages; lazy loading pattern was required</w:t>
      </w:r>
    </w:p>
    <w:p>
      <w:r>
        <w:t xml:space="preserve"/>
      </w:r>
    </w:p>
    <w:p>
      <w:pPr>
        <w:pStyle w:val="Heading2"/>
        <w:spacing w:after="80" w:before="240"/>
      </w:pPr>
      <w:r>
        <w:rPr>
          <w:rFonts w:ascii="Arial" w:cs="Arial" w:eastAsia="Arial" w:hAnsi="Arial"/>
          <w:b/>
          <w:bCs/>
          <w:sz w:val="28"/>
          <w:szCs w:val="28"/>
        </w:rPr>
        <w:t xml:space="preserve">4.4 Image Extraction Complexity</w:t>
      </w:r>
    </w:p>
    <w:p>
      <w:pPr>
        <w:pStyle w:val="ListParagraph"/>
        <w:numPr>
          <w:ilvl w:val="0"/>
          <w:numId w:val="2"/>
        </w:numPr>
        <w:spacing w:after="60" w:before="60"/>
      </w:pPr>
      <w:r>
        <w:rPr>
          <w:rFonts w:ascii="Arial" w:cs="Arial" w:eastAsia="Arial" w:hAnsi="Arial"/>
          <w:sz w:val="22"/>
          <w:szCs w:val="22"/>
        </w:rPr>
        <w:t xml:space="preserve">Docling + Ollama (llava:7b) combination: 3–4 minutes per page — impractical for 200-page papers</w:t>
      </w:r>
    </w:p>
    <w:p>
      <w:pPr>
        <w:pStyle w:val="ListParagraph"/>
        <w:numPr>
          <w:ilvl w:val="0"/>
          <w:numId w:val="2"/>
        </w:numPr>
        <w:spacing w:after="60" w:before="60"/>
      </w:pPr>
      <w:r>
        <w:rPr>
          <w:rFonts w:ascii="Arial" w:cs="Arial" w:eastAsia="Arial" w:hAnsi="Arial"/>
          <w:sz w:val="22"/>
          <w:szCs w:val="22"/>
        </w:rPr>
        <w:t xml:space="preserve">Moondream as a faster alternative produced noticeably lower-quality image descriptions</w:t>
      </w:r>
    </w:p>
    <w:p>
      <w:pPr>
        <w:pStyle w:val="ListParagraph"/>
        <w:numPr>
          <w:ilvl w:val="0"/>
          <w:numId w:val="2"/>
        </w:numPr>
        <w:spacing w:after="60" w:before="60"/>
      </w:pPr>
      <w:r>
        <w:rPr>
          <w:rFonts w:ascii="Arial" w:cs="Arial" w:eastAsia="Arial" w:hAnsi="Arial"/>
          <w:sz w:val="22"/>
          <w:szCs w:val="22"/>
        </w:rPr>
        <w:t xml:space="preserve">Noise filtering required a 7-layer classification pipeline (size, aspect ratio, colour analysis, pHash blocking, publisher pattern matching) to eliminate logos, QR codes, ORCID badges, and journal covers</w:t>
      </w:r>
    </w:p>
    <w:p>
      <w:pPr>
        <w:pStyle w:val="ListParagraph"/>
        <w:numPr>
          <w:ilvl w:val="0"/>
          <w:numId w:val="2"/>
        </w:numPr>
        <w:spacing w:after="60" w:before="60"/>
      </w:pPr>
      <w:r>
        <w:rPr>
          <w:rFonts w:ascii="Arial" w:cs="Arial" w:eastAsia="Arial" w:hAnsi="Arial"/>
          <w:sz w:val="22"/>
          <w:szCs w:val="22"/>
        </w:rPr>
        <w:t xml:space="preserve">MMR silently discarding image chunks took several evaluation cycles to diagnose — there was no obvious error, just missing [IMAGE:] tags in answers</w:t>
      </w:r>
    </w:p>
    <w:p>
      <w:r>
        <w:t xml:space="preserve"/>
      </w:r>
    </w:p>
    <w:p>
      <w:pPr>
        <w:pStyle w:val="Heading2"/>
        <w:spacing w:after="80" w:before="240"/>
      </w:pPr>
      <w:r>
        <w:rPr>
          <w:rFonts w:ascii="Arial" w:cs="Arial" w:eastAsia="Arial" w:hAnsi="Arial"/>
          <w:b/>
          <w:bCs/>
          <w:sz w:val="28"/>
          <w:szCs w:val="28"/>
        </w:rPr>
        <w:t xml:space="preserve">4.5 Evaluation Design</w:t>
      </w:r>
    </w:p>
    <w:p>
      <w:pPr>
        <w:pStyle w:val="ListParagraph"/>
        <w:numPr>
          <w:ilvl w:val="0"/>
          <w:numId w:val="2"/>
        </w:numPr>
        <w:spacing w:after="60" w:before="60"/>
      </w:pPr>
      <w:r>
        <w:rPr>
          <w:rFonts w:ascii="Arial" w:cs="Arial" w:eastAsia="Arial" w:hAnsi="Arial"/>
          <w:sz w:val="22"/>
          <w:szCs w:val="22"/>
        </w:rPr>
        <w:t xml:space="preserve">Without a golden dataset, initial RAGAS runs produced uninterpretable scores — no baseline for comparison and no way to attribute failures to retrieval vs. generation</w:t>
      </w:r>
    </w:p>
    <w:p>
      <w:pPr>
        <w:pStyle w:val="ListParagraph"/>
        <w:numPr>
          <w:ilvl w:val="0"/>
          <w:numId w:val="2"/>
        </w:numPr>
        <w:spacing w:after="60" w:before="60"/>
      </w:pPr>
      <w:r>
        <w:rPr>
          <w:rFonts w:ascii="Arial" w:cs="Arial" w:eastAsia="Arial" w:hAnsi="Arial"/>
          <w:sz w:val="22"/>
          <w:szCs w:val="22"/>
        </w:rPr>
        <w:t xml:space="preserve">Open-source LLMs produced inconsistent faithfulness judgements for identical samples across multiple runs — undermining reproducibility</w:t>
      </w:r>
    </w:p>
    <w:p>
      <w:pPr>
        <w:pStyle w:val="ListParagraph"/>
        <w:numPr>
          <w:ilvl w:val="0"/>
          <w:numId w:val="2"/>
        </w:numPr>
        <w:spacing w:after="60" w:before="60"/>
      </w:pPr>
      <w:r>
        <w:rPr>
          <w:rFonts w:ascii="Arial" w:cs="Arial" w:eastAsia="Arial" w:hAnsi="Arial"/>
          <w:sz w:val="22"/>
          <w:szCs w:val="22"/>
        </w:rPr>
        <w:t xml:space="preserve">The hybrid architecture (BM25 + Dense + RRF + MMR + Graph) made it difficult to identify which stage caused a specific retrieval failure from a single aggregate score</w:t>
      </w:r>
    </w:p>
    <w:p>
      <w:pPr>
        <w:pBdr>
          <w:bottom w:val="single" w:color="AAAAAA" w:sz="4"/>
        </w:pBdr>
        <w:spacing w:after="160" w:before="160"/>
      </w:pPr>
      <w:r>
        <w:t xml:space="preserve"/>
      </w:r>
    </w:p>
    <w:p>
      <w:pPr>
        <w:pStyle w:val="Heading1"/>
        <w:spacing w:after="120" w:before="360"/>
      </w:pPr>
      <w:r>
        <w:rPr>
          <w:rFonts w:ascii="Arial" w:cs="Arial" w:eastAsia="Arial" w:hAnsi="Arial"/>
          <w:b/>
          <w:bCs/>
          <w:sz w:val="36"/>
          <w:szCs w:val="36"/>
        </w:rPr>
        <w:t xml:space="preserve">5. Mitigation Strategies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Challenge</w:t>
            </w:r>
          </w:p>
        </w:tc>
        <w:tc>
          <w:tcPr>
            <w:tcW w:type="dxa" w:w="656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Mitigation Applied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GPU unavailable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BAAI/bge-base-en on CPU for embeddings; Groq API for generation — avoids all local GPU dependencies entirely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RAM constraints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Sequential "lazy loading" processing: extract → describe → embed one document at a time, explicit gc.collect() between steps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Model scale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BAAI/bge-base-en (110M params) for embeddings; Groq-hosted LLaMA-3 for generation — no local frontier model required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Groq TPM limits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Context capped at 3 chunks during RAGAS evaluation; 1.5–2s sleep between pipeline calls; RunConfig(max_workers=1) for RAGAS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ragas fork conflict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Explicit uninstall + pip install "ragas==0.2.6"; version detection in evaluation script to warn on incompatible fork</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Image chunks dropped by MMR</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Separate BM25 index for image-only chunks; retrieved independently and injected into context as dedicated ## Visual References section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Noise images polluting corpus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7-layer noise filter: min pixel size, aspect ratio, colour analysis (BW/green/teal/orange/sepia ratios), pHash blocklist, publisher pattern regex</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Fallback trigger too strict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Three-tier detection: short answers, multiple no-answer phrases, and 5 regex patterns for partial admissions of ignorance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Hallucination in answers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RAGAS faithfulness as primary hallucination signal; MUST language in prompt; context-only instruction in all answer prompts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 golden dataset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Structured 20-question test set with 4 categories (graph, research, image, edge); ground truths written per clinical domain; mingled-10 strategy for quick eval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Evaluation failure attribution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Component-level scoring: pre-rerank, post-RRF, post-MMR tracked separately; custom image_score and web_score metrics for non-RAGAS dimensions</w:t>
            </w:r>
          </w:p>
        </w:tc>
      </w:tr>
    </w:tbl>
    <w:p>
      <w:pPr>
        <w:pBdr>
          <w:bottom w:val="single" w:color="AAAAAA" w:sz="4"/>
        </w:pBdr>
        <w:spacing w:after="160" w:before="160"/>
      </w:pPr>
      <w:r>
        <w:t xml:space="preserve"/>
      </w:r>
    </w:p>
    <w:p>
      <w:pPr>
        <w:pStyle w:val="Heading1"/>
        <w:spacing w:after="120" w:before="360"/>
      </w:pPr>
      <w:r>
        <w:rPr>
          <w:rFonts w:ascii="Arial" w:cs="Arial" w:eastAsia="Arial" w:hAnsi="Arial"/>
          <w:b/>
          <w:bCs/>
          <w:sz w:val="36"/>
          <w:szCs w:val="36"/>
        </w:rPr>
        <w:t xml:space="preserve">6. Technical Deep Dive</w:t>
      </w:r>
    </w:p>
    <w:p>
      <w:pPr>
        <w:pStyle w:val="Heading2"/>
        <w:spacing w:after="80" w:before="240"/>
      </w:pPr>
      <w:r>
        <w:rPr>
          <w:rFonts w:ascii="Arial" w:cs="Arial" w:eastAsia="Arial" w:hAnsi="Arial"/>
          <w:b/>
          <w:bCs/>
          <w:sz w:val="28"/>
          <w:szCs w:val="28"/>
        </w:rPr>
        <w:t xml:space="preserve">6.1 End-to-End Pipeline</w:t>
      </w:r>
    </w:p>
    <w:p>
      <w:pPr>
        <w:spacing w:after="80" w:before="80"/>
      </w:pPr>
      <w:r>
        <w:rPr>
          <w:rFonts w:ascii="Arial" w:cs="Arial" w:eastAsia="Arial" w:hAnsi="Arial"/>
          <w:sz w:val="22"/>
          <w:szCs w:val="22"/>
        </w:rPr>
        <w:t xml:space="preserve">The complete data flow from PDF to user answer passes through five stages:</w:t>
      </w:r>
    </w:p>
    <w:p>
      <w:r>
        <w:t xml:space="preserve"/>
      </w:r>
    </w:p>
    <w:p>
      <w:pPr>
        <w:pStyle w:val="ListParagraph"/>
        <w:numPr>
          <w:ilvl w:val="0"/>
          <w:numId w:val="3"/>
        </w:numPr>
        <w:spacing w:after="60" w:before="60"/>
      </w:pPr>
      <w:r>
        <w:rPr>
          <w:rFonts w:ascii="Arial" w:cs="Arial" w:eastAsia="Arial" w:hAnsi="Arial"/>
          <w:sz w:val="22"/>
          <w:szCs w:val="22"/>
        </w:rPr>
        <w:t xml:space="preserve">Ingestion: PDF files are processed by Docling (primary) or PyMuPDF (fallback). Text is cleaned through 12 steps, images are extracted and noise-filtered, captions are built, and an [IMAGE:] tag section is appended to the cleaned markdown. Two-stage chunking (header-aware → recursive) produces chunk JSON files with metadata including chunk_id, cancer_type, content_type, section_hierarchy, and has_image_tags.</w:t>
      </w:r>
    </w:p>
    <w:p>
      <w:pPr>
        <w:pStyle w:val="ListParagraph"/>
        <w:numPr>
          <w:ilvl w:val="0"/>
          <w:numId w:val="3"/>
        </w:numPr>
        <w:spacing w:after="60" w:before="60"/>
      </w:pPr>
      <w:r>
        <w:rPr>
          <w:rFonts w:ascii="Arial" w:cs="Arial" w:eastAsia="Arial" w:hAnsi="Arial"/>
          <w:sz w:val="22"/>
          <w:szCs w:val="22"/>
        </w:rPr>
        <w:t xml:space="preserve">Embedding &amp; Storage: All chunks (text + caption) are embedded using BAAI/bge-base-en (768 dimensions, normalised) and written to Neo4j Aura as :Chunk nodes under a HNSW vector index. The same JSON files on disk serve BM25Retriever, the graph builder, and evaluation scripts.</w:t>
      </w:r>
    </w:p>
    <w:p>
      <w:pPr>
        <w:pStyle w:val="ListParagraph"/>
        <w:numPr>
          <w:ilvl w:val="0"/>
          <w:numId w:val="3"/>
        </w:numPr>
        <w:spacing w:after="60" w:before="60"/>
      </w:pPr>
      <w:r>
        <w:rPr>
          <w:rFonts w:ascii="Arial" w:cs="Arial" w:eastAsia="Arial" w:hAnsi="Arial"/>
          <w:sz w:val="22"/>
          <w:szCs w:val="22"/>
        </w:rPr>
        <w:t xml:space="preserve">Query Routing: Each query is classified into RESEARCH, GRAPH, or AUTO mode. Within AUTO mode, the system additionally checks for medical entity keywords to decide whether to fire the graph retrieval path. Out-of-corpus patterns (vaccine approval, recent FDA decisions, 202x dates) trigger a proactive web search before any retrieval.</w:t>
      </w:r>
    </w:p>
    <w:p>
      <w:pPr>
        <w:pStyle w:val="ListParagraph"/>
        <w:numPr>
          <w:ilvl w:val="0"/>
          <w:numId w:val="3"/>
        </w:numPr>
        <w:spacing w:after="60" w:before="60"/>
      </w:pPr>
      <w:r>
        <w:rPr>
          <w:rFonts w:ascii="Arial" w:cs="Arial" w:eastAsia="Arial" w:hAnsi="Arial"/>
          <w:sz w:val="22"/>
          <w:szCs w:val="22"/>
        </w:rPr>
        <w:t xml:space="preserve">Context Assembly: Graph context ([G1], [G2] blocks from Cypher queries) is placed first. Vector chunks ([1], [2] from BM25 + Dense + RRF + MMR) follow. Image chunks ([IMG1], [IMG2] from the dedicated image BM25 index) are appended as a ## Visual References section. This order is intentional: relational facts before narrative, images last.</w:t>
      </w:r>
    </w:p>
    <w:p>
      <w:pPr>
        <w:pStyle w:val="ListParagraph"/>
        <w:numPr>
          <w:ilvl w:val="0"/>
          <w:numId w:val="3"/>
        </w:numPr>
        <w:spacing w:after="60" w:before="60"/>
      </w:pPr>
      <w:r>
        <w:rPr>
          <w:rFonts w:ascii="Arial" w:cs="Arial" w:eastAsia="Arial" w:hAnsi="Arial"/>
          <w:sz w:val="22"/>
          <w:szCs w:val="22"/>
        </w:rPr>
        <w:t xml:space="preserve">Generation &amp; Fallback: Groq LLaMA-3.3-70b generates the answer with strict context-only instructions. If the answer fails the three-tier no-answer check, DuckDuckGo web search fires and the web answer is presented cleanly (standalone if RAG was empty; labelled as additional sources if RAG had partial information).</w:t>
      </w:r>
    </w:p>
    <w:p>
      <w:r>
        <w:t xml:space="preserve"/>
      </w:r>
    </w:p>
    <w:p>
      <w:pPr>
        <w:pStyle w:val="Heading2"/>
        <w:spacing w:after="80" w:before="240"/>
      </w:pPr>
      <w:r>
        <w:rPr>
          <w:rFonts w:ascii="Arial" w:cs="Arial" w:eastAsia="Arial" w:hAnsi="Arial"/>
          <w:b/>
          <w:bCs/>
          <w:sz w:val="28"/>
          <w:szCs w:val="28"/>
        </w:rPr>
        <w:t xml:space="preserve">6.2 Knowledge Graph Schema</w:t>
      </w:r>
    </w:p>
    <w:p>
      <w:pPr>
        <w:spacing w:after="80" w:before="80"/>
      </w:pPr>
      <w:r>
        <w:rPr>
          <w:rFonts w:ascii="Arial" w:cs="Arial" w:eastAsia="Arial" w:hAnsi="Arial"/>
          <w:sz w:val="22"/>
          <w:szCs w:val="22"/>
        </w:rPr>
        <w:t xml:space="preserve">The hand-crafted knowledge graph in Neo4j encodes the clinical nutrition domain for oncology patients. Node types and their relationships: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Node Type</w:t>
            </w:r>
          </w:p>
        </w:tc>
        <w:tc>
          <w:tcPr>
            <w:tcW w:type="dxa" w:w="34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Properties</w:t>
            </w:r>
          </w:p>
        </w:tc>
        <w:tc>
          <w:tcPr>
            <w:tcW w:type="dxa" w:w="328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Key Relationships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Cancer</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name, subtype</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TREATED_WITH → ChemoDrug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ChemoDrug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name, drug_class, notes, mechanism</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CAUSES_EATING_EFFECT → EatingAdverseEffect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EatingAdverseEffect</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name, management_tip</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WORSENED_BY → FoodItem; → RELIEVED_BY → FoodItem</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NutritionGuideline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text</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REQUIRED_FOR → ChemoDrug; → MANAGES → EatingAdverseEffect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NonChemoDrug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name, drug_class</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HAS_INTERACTION_WITH → ChemoDrug; → DESCRIBED_BY → DrugInteraction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TreatmentProtocol</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name, cancer, description, setting</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INCLUDES_DRUG → ChemoDrug</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DrugInteraction</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severity, description, clinical_action</w:t>
            </w:r>
          </w:p>
        </w:tc>
        <w:tc>
          <w:tcPr>
            <w:tcW w:type="dxa" w:w="32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COMPOUNDS_EATING_EFFECT → EatingAdverseEffect</w:t>
            </w:r>
          </w:p>
        </w:tc>
      </w:tr>
    </w:tbl>
    <w:p>
      <w:r>
        <w:t xml:space="preserve"/>
      </w:r>
    </w:p>
    <w:p>
      <w:pPr>
        <w:pStyle w:val="Heading2"/>
        <w:spacing w:after="80" w:before="240"/>
      </w:pPr>
      <w:r>
        <w:rPr>
          <w:rFonts w:ascii="Arial" w:cs="Arial" w:eastAsia="Arial" w:hAnsi="Arial"/>
          <w:b/>
          <w:bCs/>
          <w:sz w:val="28"/>
          <w:szCs w:val="28"/>
        </w:rPr>
        <w:t xml:space="preserve">6.3 Design Decisions &amp; Tradeoffs</w:t>
      </w:r>
    </w:p>
    <w:p>
      <w:pPr>
        <w:pStyle w:val="Heading3"/>
        <w:spacing w:after="60" w:before="180"/>
      </w:pPr>
      <w:r>
        <w:rPr>
          <w:rFonts w:ascii="Arial" w:cs="Arial" w:eastAsia="Arial" w:hAnsi="Arial"/>
          <w:b/>
          <w:bCs/>
          <w:sz w:val="24"/>
          <w:szCs w:val="24"/>
        </w:rPr>
        <w:t xml:space="preserve">Why Neo4j instead of Qdrant for vector storage?</w:t>
      </w:r>
    </w:p>
    <w:p>
      <w:pPr>
        <w:spacing w:after="80" w:before="80"/>
      </w:pPr>
      <w:r>
        <w:rPr>
          <w:rFonts w:ascii="Arial" w:cs="Arial" w:eastAsia="Arial" w:hAnsi="Arial"/>
          <w:sz w:val="22"/>
          <w:szCs w:val="22"/>
        </w:rPr>
        <w:t xml:space="preserve">Qdrant was the original vector store (v3). Migrating to Neo4j Aura (v4–v5) allowed a single database to serve both the vector index (HNSW on :Chunk nodes) and the knowledge graph (entity-relation nodes). This eliminated infrastructure complexity — one connection, one credential set, no cross-database join logic. The tradeoff is Aura free tier's ingestion latency, which was mitigated with batched upserts.</w:t>
      </w:r>
    </w:p>
    <w:p>
      <w:r>
        <w:t xml:space="preserve"/>
      </w:r>
    </w:p>
    <w:p>
      <w:pPr>
        <w:pStyle w:val="Heading3"/>
        <w:spacing w:after="60" w:before="180"/>
      </w:pPr>
      <w:r>
        <w:rPr>
          <w:rFonts w:ascii="Arial" w:cs="Arial" w:eastAsia="Arial" w:hAnsi="Arial"/>
          <w:b/>
          <w:bCs/>
          <w:sz w:val="24"/>
          <w:szCs w:val="24"/>
        </w:rPr>
        <w:t xml:space="preserve">Why pre-written Cypher over LLM-generated Cypher?</w:t>
      </w:r>
    </w:p>
    <w:p>
      <w:pPr>
        <w:spacing w:after="80" w:before="80"/>
      </w:pPr>
      <w:r>
        <w:rPr>
          <w:rFonts w:ascii="Arial" w:cs="Arial" w:eastAsia="Arial" w:hAnsi="Arial"/>
          <w:sz w:val="22"/>
          <w:szCs w:val="22"/>
        </w:rPr>
        <w:t xml:space="preserve">Text-to-Cypher with open-source LLMs produces inconsistent, sometimes invalid queries — particularly for multi-hop patterns with OPTIONAL MATCH. Pre-written templates guarantee valid syntax, predictable output shape, and correct parameter binding. The six templates cover all clinically relevant nutrition question patterns identified in the domain.</w:t>
      </w:r>
    </w:p>
    <w:p>
      <w:r>
        <w:t xml:space="preserve"/>
      </w:r>
    </w:p>
    <w:p>
      <w:pPr>
        <w:pStyle w:val="Heading3"/>
        <w:spacing w:after="60" w:before="180"/>
      </w:pPr>
      <w:r>
        <w:rPr>
          <w:rFonts w:ascii="Arial" w:cs="Arial" w:eastAsia="Arial" w:hAnsi="Arial"/>
          <w:b/>
          <w:bCs/>
          <w:sz w:val="24"/>
          <w:szCs w:val="24"/>
        </w:rPr>
        <w:t xml:space="preserve">Why BAAI/bge-base-en over larger models?</w:t>
      </w:r>
    </w:p>
    <w:p>
      <w:pPr>
        <w:spacing w:after="80" w:before="80"/>
      </w:pPr>
      <w:r>
        <w:rPr>
          <w:rFonts w:ascii="Arial" w:cs="Arial" w:eastAsia="Arial" w:hAnsi="Arial"/>
          <w:sz w:val="22"/>
          <w:szCs w:val="22"/>
        </w:rPr>
        <w:t xml:space="preserve">BAAI/bge-base-en (110M parameters, 768 dimensions) was chosen over larger alternatives because it runs on CPU in under 200ms per embed call, normalised embeddings work directly with cosine similarity without scaling, and it outperforms many larger models on retrieval benchmarks (MTEB). The alternative nomic-embed-text via Ollama was slower on the hardware profile of this project.</w:t>
      </w:r>
    </w:p>
    <w:p>
      <w:pPr>
        <w:pBdr>
          <w:bottom w:val="single" w:color="AAAAAA" w:sz="4"/>
        </w:pBdr>
        <w:spacing w:after="160" w:before="160"/>
      </w:pPr>
      <w:r>
        <w:t xml:space="preserve"/>
      </w:r>
    </w:p>
    <w:p>
      <w:pPr>
        <w:pStyle w:val="Heading1"/>
        <w:spacing w:after="120" w:before="360"/>
      </w:pPr>
      <w:r>
        <w:rPr>
          <w:rFonts w:ascii="Arial" w:cs="Arial" w:eastAsia="Arial" w:hAnsi="Arial"/>
          <w:b/>
          <w:bCs/>
          <w:sz w:val="36"/>
          <w:szCs w:val="36"/>
        </w:rPr>
        <w:t xml:space="preserve">7. How to Rebuild This Project</w:t>
      </w:r>
    </w:p>
    <w:p>
      <w:pPr>
        <w:spacing w:after="80" w:before="80"/>
      </w:pPr>
      <w:r>
        <w:rPr>
          <w:rFonts w:ascii="Arial" w:cs="Arial" w:eastAsia="Arial" w:hAnsi="Arial"/>
          <w:sz w:val="22"/>
          <w:szCs w:val="22"/>
        </w:rPr>
        <w:t xml:space="preserve">This section provides a step-by-step guide for a new developer setting up the project from scratch.</w:t>
      </w:r>
    </w:p>
    <w:p>
      <w:r>
        <w:t xml:space="preserve"/>
      </w:r>
    </w:p>
    <w:p>
      <w:pPr>
        <w:pStyle w:val="Heading2"/>
        <w:spacing w:after="80" w:before="240"/>
      </w:pPr>
      <w:r>
        <w:rPr>
          <w:rFonts w:ascii="Arial" w:cs="Arial" w:eastAsia="Arial" w:hAnsi="Arial"/>
          <w:b/>
          <w:bCs/>
          <w:sz w:val="28"/>
          <w:szCs w:val="28"/>
        </w:rPr>
        <w:t xml:space="preserve">7.1 Prerequisites</w:t>
      </w:r>
    </w:p>
    <w:p>
      <w:pPr>
        <w:pStyle w:val="ListParagraph"/>
        <w:numPr>
          <w:ilvl w:val="0"/>
          <w:numId w:val="2"/>
        </w:numPr>
        <w:spacing w:after="60" w:before="60"/>
      </w:pPr>
      <w:r>
        <w:rPr>
          <w:rFonts w:ascii="Arial" w:cs="Arial" w:eastAsia="Arial" w:hAnsi="Arial"/>
          <w:sz w:val="22"/>
          <w:szCs w:val="22"/>
        </w:rPr>
        <w:t xml:space="preserve">Python 3.10+, pip, git</w:t>
      </w:r>
    </w:p>
    <w:p>
      <w:pPr>
        <w:pStyle w:val="ListParagraph"/>
        <w:numPr>
          <w:ilvl w:val="0"/>
          <w:numId w:val="2"/>
        </w:numPr>
        <w:spacing w:after="60" w:before="60"/>
      </w:pPr>
      <w:r>
        <w:rPr>
          <w:rFonts w:ascii="Arial" w:cs="Arial" w:eastAsia="Arial" w:hAnsi="Arial"/>
          <w:sz w:val="22"/>
          <w:szCs w:val="22"/>
        </w:rPr>
        <w:t xml:space="preserve">Neo4j Aura free account (aura.neo4j.io) — create a database, save the URI, username, and password</w:t>
      </w:r>
    </w:p>
    <w:p>
      <w:pPr>
        <w:pStyle w:val="ListParagraph"/>
        <w:numPr>
          <w:ilvl w:val="0"/>
          <w:numId w:val="2"/>
        </w:numPr>
        <w:spacing w:after="60" w:before="60"/>
      </w:pPr>
      <w:r>
        <w:rPr>
          <w:rFonts w:ascii="Arial" w:cs="Arial" w:eastAsia="Arial" w:hAnsi="Arial"/>
          <w:sz w:val="22"/>
          <w:szCs w:val="22"/>
        </w:rPr>
        <w:t xml:space="preserve">Groq API key (console.groq.com) — free tier is sufficient for development</w:t>
      </w:r>
    </w:p>
    <w:p>
      <w:pPr>
        <w:pStyle w:val="ListParagraph"/>
        <w:numPr>
          <w:ilvl w:val="0"/>
          <w:numId w:val="2"/>
        </w:numPr>
        <w:spacing w:after="60" w:before="60"/>
      </w:pPr>
      <w:r>
        <w:rPr>
          <w:rFonts w:ascii="Arial" w:cs="Arial" w:eastAsia="Arial" w:hAnsi="Arial"/>
          <w:sz w:val="22"/>
          <w:szCs w:val="22"/>
        </w:rPr>
        <w:t xml:space="preserve">~4 GB disk space for models and chunk files</w:t>
      </w:r>
    </w:p>
    <w:p>
      <w:r>
        <w:t xml:space="preserve"/>
      </w:r>
    </w:p>
    <w:p>
      <w:pPr>
        <w:pStyle w:val="Heading2"/>
        <w:spacing w:after="80" w:before="240"/>
      </w:pPr>
      <w:r>
        <w:rPr>
          <w:rFonts w:ascii="Arial" w:cs="Arial" w:eastAsia="Arial" w:hAnsi="Arial"/>
          <w:b/>
          <w:bCs/>
          <w:sz w:val="28"/>
          <w:szCs w:val="28"/>
        </w:rPr>
        <w:t xml:space="preserve">7.2 Environment Setup</w:t>
      </w:r>
    </w:p>
    <w:p>
      <w:pPr>
        <w:pStyle w:val="ListParagraph"/>
        <w:numPr>
          <w:ilvl w:val="0"/>
          <w:numId w:val="3"/>
        </w:numPr>
        <w:spacing w:after="60" w:before="60"/>
      </w:pPr>
      <w:r>
        <w:rPr>
          <w:rFonts w:ascii="Arial" w:cs="Arial" w:eastAsia="Arial" w:hAnsi="Arial"/>
          <w:sz w:val="22"/>
          <w:szCs w:val="22"/>
        </w:rPr>
        <w:t xml:space="preserve">Clone the repository and create a virtual environment</w:t>
      </w:r>
    </w:p>
    <w:p>
      <w:pPr>
        <w:pStyle w:val="ListParagraph"/>
        <w:numPr>
          <w:ilvl w:val="0"/>
          <w:numId w:val="3"/>
        </w:numPr>
        <w:spacing w:after="60" w:before="60"/>
      </w:pPr>
      <w:r>
        <w:rPr>
          <w:rFonts w:ascii="Arial" w:cs="Arial" w:eastAsia="Arial" w:hAnsi="Arial"/>
          <w:sz w:val="22"/>
          <w:szCs w:val="22"/>
        </w:rPr>
        <w:t xml:space="preserve">Install dependencies: pip install langchain langchain-neo4j langchain-groq langchain-huggingface langchain-community docling pymupdf easyocr duckduckgo-search neo4j streamlit</w:t>
      </w:r>
    </w:p>
    <w:p>
      <w:pPr>
        <w:pStyle w:val="ListParagraph"/>
        <w:numPr>
          <w:ilvl w:val="0"/>
          <w:numId w:val="3"/>
        </w:numPr>
        <w:spacing w:after="60" w:before="60"/>
      </w:pPr>
      <w:r>
        <w:rPr>
          <w:rFonts w:ascii="Arial" w:cs="Arial" w:eastAsia="Arial" w:hAnsi="Arial"/>
          <w:sz w:val="22"/>
          <w:szCs w:val="22"/>
        </w:rPr>
        <w:t xml:space="preserve">Create config.py with all constants: Neo4j credentials, Groq API key, directory paths, chunking parameters, known entity lists</w:t>
      </w:r>
    </w:p>
    <w:p>
      <w:pPr>
        <w:pStyle w:val="ListParagraph"/>
        <w:numPr>
          <w:ilvl w:val="0"/>
          <w:numId w:val="3"/>
        </w:numPr>
        <w:spacing w:after="60" w:before="60"/>
      </w:pPr>
      <w:r>
        <w:rPr>
          <w:rFonts w:ascii="Arial" w:cs="Arial" w:eastAsia="Arial" w:hAnsi="Arial"/>
          <w:sz w:val="22"/>
          <w:szCs w:val="22"/>
        </w:rPr>
        <w:t xml:space="preserve">Create output directories: data/pdfs/, output/chunks/, output/captions/, output/images/, output/embeddings/, output/evaluation/, output/logs/</w:t>
      </w:r>
    </w:p>
    <w:p>
      <w:r>
        <w:t xml:space="preserve"/>
      </w:r>
    </w:p>
    <w:p>
      <w:pPr>
        <w:pStyle w:val="Heading2"/>
        <w:spacing w:after="80" w:before="240"/>
      </w:pPr>
      <w:r>
        <w:rPr>
          <w:rFonts w:ascii="Arial" w:cs="Arial" w:eastAsia="Arial" w:hAnsi="Arial"/>
          <w:b/>
          <w:bCs/>
          <w:sz w:val="28"/>
          <w:szCs w:val="28"/>
        </w:rPr>
        <w:t xml:space="preserve">7.3 Running the Pipeline</w:t>
      </w:r>
    </w:p>
    <w:p>
      <w:pPr>
        <w:pStyle w:val="ListParagraph"/>
        <w:numPr>
          <w:ilvl w:val="0"/>
          <w:numId w:val="3"/>
        </w:numPr>
        <w:spacing w:after="60" w:before="60"/>
      </w:pPr>
      <w:r>
        <w:rPr>
          <w:rFonts w:ascii="Arial" w:cs="Arial" w:eastAsia="Arial" w:hAnsi="Arial"/>
          <w:sz w:val="22"/>
          <w:szCs w:val="22"/>
        </w:rPr>
        <w:t xml:space="preserve">Place PDF files in data/pdfs/</w:t>
      </w:r>
    </w:p>
    <w:p>
      <w:pPr>
        <w:pStyle w:val="ListParagraph"/>
        <w:numPr>
          <w:ilvl w:val="0"/>
          <w:numId w:val="3"/>
        </w:numPr>
        <w:spacing w:after="60" w:before="60"/>
      </w:pPr>
      <w:r>
        <w:rPr>
          <w:rFonts w:ascii="Arial" w:cs="Arial" w:eastAsia="Arial" w:hAnsi="Arial"/>
          <w:sz w:val="22"/>
          <w:szCs w:val="22"/>
        </w:rPr>
        <w:t xml:space="preserve">Run cancer_ingestion.py — this extracts text, cleans it, extracts images, chunks documents, and builds the Neo4j vector index. Expect 2–5 minutes per paper.</w:t>
      </w:r>
    </w:p>
    <w:p>
      <w:pPr>
        <w:pStyle w:val="ListParagraph"/>
        <w:numPr>
          <w:ilvl w:val="0"/>
          <w:numId w:val="3"/>
        </w:numPr>
        <w:spacing w:after="60" w:before="60"/>
      </w:pPr>
      <w:r>
        <w:rPr>
          <w:rFonts w:ascii="Arial" w:cs="Arial" w:eastAsia="Arial" w:hAnsi="Arial"/>
          <w:sz w:val="22"/>
          <w:szCs w:val="22"/>
        </w:rPr>
        <w:t xml:space="preserve">Run cancer_graph_builder.py — this reads the chunk JSON files and builds the entity-relation knowledge graph in Neo4j. Requires the .cypher schema files to be loaded first.</w:t>
      </w:r>
    </w:p>
    <w:p>
      <w:pPr>
        <w:pStyle w:val="ListParagraph"/>
        <w:numPr>
          <w:ilvl w:val="0"/>
          <w:numId w:val="3"/>
        </w:numPr>
        <w:spacing w:after="60" w:before="60"/>
      </w:pPr>
      <w:r>
        <w:rPr>
          <w:rFonts w:ascii="Arial" w:cs="Arial" w:eastAsia="Arial" w:hAnsi="Arial"/>
          <w:sz w:val="22"/>
          <w:szCs w:val="22"/>
        </w:rPr>
        <w:t xml:space="preserve">Test retrieval: python cancer_retrieval.py — runs demo queries across all three modes</w:t>
      </w:r>
    </w:p>
    <w:p>
      <w:pPr>
        <w:pStyle w:val="ListParagraph"/>
        <w:numPr>
          <w:ilvl w:val="0"/>
          <w:numId w:val="3"/>
        </w:numPr>
        <w:spacing w:after="60" w:before="60"/>
      </w:pPr>
      <w:r>
        <w:rPr>
          <w:rFonts w:ascii="Arial" w:cs="Arial" w:eastAsia="Arial" w:hAnsi="Arial"/>
          <w:sz w:val="22"/>
          <w:szCs w:val="22"/>
        </w:rPr>
        <w:t xml:space="preserve">Launch the UI: streamlit run cancer_app.py</w:t>
      </w:r>
    </w:p>
    <w:p>
      <w:pPr>
        <w:pStyle w:val="ListParagraph"/>
        <w:numPr>
          <w:ilvl w:val="0"/>
          <w:numId w:val="3"/>
        </w:numPr>
        <w:spacing w:after="60" w:before="60"/>
      </w:pPr>
      <w:r>
        <w:rPr>
          <w:rFonts w:ascii="Arial" w:cs="Arial" w:eastAsia="Arial" w:hAnsi="Arial"/>
          <w:sz w:val="22"/>
          <w:szCs w:val="22"/>
        </w:rPr>
        <w:t xml:space="preserve">Run evaluation: python cancer_evaluation.py --quick (5 questions) or --label baseline for a full 20-question RAGAS run</w:t>
      </w:r>
    </w:p>
    <w:p>
      <w:r>
        <w:t xml:space="preserve"/>
      </w:r>
    </w:p>
    <w:p>
      <w:pPr>
        <w:pStyle w:val="Heading2"/>
        <w:spacing w:after="80" w:before="240"/>
      </w:pPr>
      <w:r>
        <w:rPr>
          <w:rFonts w:ascii="Arial" w:cs="Arial" w:eastAsia="Arial" w:hAnsi="Arial"/>
          <w:b/>
          <w:bCs/>
          <w:sz w:val="28"/>
          <w:szCs w:val="28"/>
        </w:rPr>
        <w:t xml:space="preserve">7.4 Key Configuration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Parameter</w:t>
            </w:r>
          </w:p>
        </w:tc>
        <w:tc>
          <w:tcPr>
            <w:tcW w:type="dxa" w:w="636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Recommended Value &amp; Rationale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EMBEDDING_MODEL</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BAAI/bge-base-en — best CPU performance/quality ratio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GROQ_MODEL_QUERY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llama-3.3-70b-versatile — strong medical reasoning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CHUNK_SIZE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1200 chars — fits most clinical paragraphs without splitting mid-table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CHUNK_OVERLAP</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 chars — preserves sentence context at boundaries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K_DENSE / K_SPARSE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 each — wide initial recall before RRF and MMR narrowing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K_MMR_FINAL</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 — enough diversity; beyond 8, LLM context quality degrades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MMR_LAMBDA</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0.6 — slightly relevance-weighted; tested against 0.5 and 0.7</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RAGAS_JUDGE_MODEL</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llama-3.1-8b-instant for speed; llama-3.3-70b-versatile for accuracy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UPSERT_BATCH</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 — safe batch size for Neo4j Aura free tier without timeout</w:t>
            </w:r>
          </w:p>
        </w:tc>
      </w:tr>
    </w:tbl>
    <w:p>
      <w:r>
        <w:t xml:space="preserve"/>
      </w:r>
    </w:p>
    <w:p>
      <w:pPr>
        <w:pStyle w:val="Heading2"/>
        <w:spacing w:after="80" w:before="240"/>
      </w:pPr>
      <w:r>
        <w:rPr>
          <w:rFonts w:ascii="Arial" w:cs="Arial" w:eastAsia="Arial" w:hAnsi="Arial"/>
          <w:b/>
          <w:bCs/>
          <w:sz w:val="28"/>
          <w:szCs w:val="28"/>
        </w:rPr>
        <w:t xml:space="preserve">7.5 Best Practices for New Developers</w:t>
      </w:r>
    </w:p>
    <w:p>
      <w:pPr>
        <w:pStyle w:val="ListParagraph"/>
        <w:numPr>
          <w:ilvl w:val="0"/>
          <w:numId w:val="2"/>
        </w:numPr>
        <w:spacing w:after="60" w:before="60"/>
      </w:pPr>
      <w:r>
        <w:rPr>
          <w:rFonts w:ascii="Arial" w:cs="Arial" w:eastAsia="Arial" w:hAnsi="Arial"/>
          <w:sz w:val="22"/>
          <w:szCs w:val="22"/>
        </w:rPr>
        <w:t xml:space="preserve">Always run cancer_ingestion.py with force_rebuild=True on first run; False on subsequent runs to avoid re-embedding all chunks</w:t>
      </w:r>
    </w:p>
    <w:p>
      <w:pPr>
        <w:pStyle w:val="ListParagraph"/>
        <w:numPr>
          <w:ilvl w:val="0"/>
          <w:numId w:val="2"/>
        </w:numPr>
        <w:spacing w:after="60" w:before="60"/>
      </w:pPr>
      <w:r>
        <w:rPr>
          <w:rFonts w:ascii="Arial" w:cs="Arial" w:eastAsia="Arial" w:hAnsi="Arial"/>
          <w:sz w:val="22"/>
          <w:szCs w:val="22"/>
        </w:rPr>
        <w:t xml:space="preserve">Check the rejected_images.json log after ingestion to verify the noise filter is not discarding clinical figures</w:t>
      </w:r>
    </w:p>
    <w:p>
      <w:pPr>
        <w:pStyle w:val="ListParagraph"/>
        <w:numPr>
          <w:ilvl w:val="0"/>
          <w:numId w:val="2"/>
        </w:numPr>
        <w:spacing w:after="60" w:before="60"/>
      </w:pPr>
      <w:r>
        <w:rPr>
          <w:rFonts w:ascii="Arial" w:cs="Arial" w:eastAsia="Arial" w:hAnsi="Arial"/>
          <w:sz w:val="22"/>
          <w:szCs w:val="22"/>
        </w:rPr>
        <w:t xml:space="preserve">Use the --quick flag for evaluation during development; full 20-question runs take 30–40 minutes</w:t>
      </w:r>
    </w:p>
    <w:p>
      <w:pPr>
        <w:pStyle w:val="ListParagraph"/>
        <w:numPr>
          <w:ilvl w:val="0"/>
          <w:numId w:val="2"/>
        </w:numPr>
        <w:spacing w:after="60" w:before="60"/>
      </w:pPr>
      <w:r>
        <w:rPr>
          <w:rFonts w:ascii="Arial" w:cs="Arial" w:eastAsia="Arial" w:hAnsi="Arial"/>
          <w:sz w:val="22"/>
          <w:szCs w:val="22"/>
        </w:rPr>
        <w:t xml:space="preserve">Pin ragas==0.2.6 explicitly in requirements.txt — the vibrantlabsai fork breaks silently</w:t>
      </w:r>
    </w:p>
    <w:p>
      <w:pPr>
        <w:pStyle w:val="ListParagraph"/>
        <w:numPr>
          <w:ilvl w:val="0"/>
          <w:numId w:val="2"/>
        </w:numPr>
        <w:spacing w:after="60" w:before="60"/>
      </w:pPr>
      <w:r>
        <w:rPr>
          <w:rFonts w:ascii="Arial" w:cs="Arial" w:eastAsia="Arial" w:hAnsi="Arial"/>
          <w:sz w:val="22"/>
          <w:szCs w:val="22"/>
        </w:rPr>
        <w:t xml:space="preserve">The three query modes (RESEARCH/GRAPH/AUTO) are constants in config.py — change labels and descriptions there, not in app.py</w:t>
      </w:r>
    </w:p>
    <w:p>
      <w:pPr>
        <w:pBdr>
          <w:bottom w:val="single" w:color="AAAAAA" w:sz="4"/>
        </w:pBdr>
        <w:spacing w:after="160" w:before="160"/>
      </w:pPr>
      <w:r>
        <w:t xml:space="preserve"/>
      </w:r>
    </w:p>
    <w:p>
      <w:pPr>
        <w:pStyle w:val="Heading1"/>
        <w:spacing w:after="120" w:before="360"/>
      </w:pPr>
      <w:r>
        <w:rPr>
          <w:rFonts w:ascii="Arial" w:cs="Arial" w:eastAsia="Arial" w:hAnsi="Arial"/>
          <w:b/>
          <w:bCs/>
          <w:sz w:val="36"/>
          <w:szCs w:val="36"/>
        </w:rPr>
        <w:t xml:space="preserve">8. Results &amp; Observations</w:t>
      </w:r>
    </w:p>
    <w:p>
      <w:r>
        <w:t xml:space="preserve"/>
      </w:r>
    </w:p>
    <w:p>
      <w:pPr>
        <w:pStyle w:val="Heading2"/>
        <w:spacing w:after="80" w:before="240"/>
      </w:pPr>
      <w:r>
        <w:rPr>
          <w:rFonts w:ascii="Arial" w:cs="Arial" w:eastAsia="Arial" w:hAnsi="Arial"/>
          <w:b/>
          <w:bCs/>
          <w:sz w:val="28"/>
          <w:szCs w:val="28"/>
        </w:rPr>
        <w:t xml:space="preserve">8.1 What Worked Well</w:t>
      </w:r>
    </w:p>
    <w:p>
      <w:pPr>
        <w:pStyle w:val="ListParagraph"/>
        <w:numPr>
          <w:ilvl w:val="0"/>
          <w:numId w:val="2"/>
        </w:numPr>
        <w:spacing w:after="60" w:before="60"/>
      </w:pPr>
      <w:r>
        <w:rPr>
          <w:rFonts w:ascii="Arial" w:cs="Arial" w:eastAsia="Arial" w:hAnsi="Arial"/>
          <w:sz w:val="22"/>
          <w:szCs w:val="22"/>
        </w:rPr>
        <w:t xml:space="preserve">Hybrid BM25 + Dense + RRF + MMR retrieval consistently outperformed single-method approaches across all query types</w:t>
      </w:r>
    </w:p>
    <w:p>
      <w:pPr>
        <w:pStyle w:val="ListParagraph"/>
        <w:numPr>
          <w:ilvl w:val="0"/>
          <w:numId w:val="2"/>
        </w:numPr>
        <w:spacing w:after="60" w:before="60"/>
      </w:pPr>
      <w:r>
        <w:rPr>
          <w:rFonts w:ascii="Arial" w:cs="Arial" w:eastAsia="Arial" w:hAnsi="Arial"/>
          <w:sz w:val="22"/>
          <w:szCs w:val="22"/>
        </w:rPr>
        <w:t xml:space="preserve">The dedicated image retrieval path (Fix 1 in v5.1) completely resolved the image tag absence problem — image questions reliably received [IMAGE:] tags in answers post-fix</w:t>
      </w:r>
    </w:p>
    <w:p>
      <w:pPr>
        <w:pStyle w:val="ListParagraph"/>
        <w:numPr>
          <w:ilvl w:val="0"/>
          <w:numId w:val="2"/>
        </w:numPr>
        <w:spacing w:after="60" w:before="60"/>
      </w:pPr>
      <w:r>
        <w:rPr>
          <w:rFonts w:ascii="Arial" w:cs="Arial" w:eastAsia="Arial" w:hAnsi="Arial"/>
          <w:sz w:val="22"/>
          <w:szCs w:val="22"/>
        </w:rPr>
        <w:t xml:space="preserve">Three-mode routing gave users intuitive control over retrieval behaviour; power users (clinicians) preferred RESEARCH mode; patients preferred GRAPH mode for practical guidance</w:t>
      </w:r>
    </w:p>
    <w:p>
      <w:pPr>
        <w:pStyle w:val="ListParagraph"/>
        <w:numPr>
          <w:ilvl w:val="0"/>
          <w:numId w:val="2"/>
        </w:numPr>
        <w:spacing w:after="60" w:before="60"/>
      </w:pPr>
      <w:r>
        <w:rPr>
          <w:rFonts w:ascii="Arial" w:cs="Arial" w:eastAsia="Arial" w:hAnsi="Arial"/>
          <w:sz w:val="22"/>
          <w:szCs w:val="22"/>
        </w:rPr>
        <w:t xml:space="preserve">The 12-step text cleaner significantly improved BM25 recall on drug names — ligature-corrupted text like "cisplatin" rendering as "cisplatin" (with broken fi glyph) was a real issue in several PDFs</w:t>
      </w:r>
    </w:p>
    <w:p>
      <w:pPr>
        <w:pStyle w:val="ListParagraph"/>
        <w:numPr>
          <w:ilvl w:val="0"/>
          <w:numId w:val="2"/>
        </w:numPr>
        <w:spacing w:after="60" w:before="60"/>
      </w:pPr>
      <w:r>
        <w:rPr>
          <w:rFonts w:ascii="Arial" w:cs="Arial" w:eastAsia="Arial" w:hAnsi="Arial"/>
          <w:sz w:val="22"/>
          <w:szCs w:val="22"/>
        </w:rPr>
        <w:t xml:space="preserve">Proactive out-of-corpus detection correctly routed vaccine approval and recent FDA decision queries to web search, preventing hallucination on time-sensitive regulatory information</w:t>
      </w:r>
    </w:p>
    <w:p>
      <w:pPr>
        <w:pStyle w:val="ListParagraph"/>
        <w:numPr>
          <w:ilvl w:val="0"/>
          <w:numId w:val="2"/>
        </w:numPr>
        <w:spacing w:after="60" w:before="60"/>
      </w:pPr>
      <w:r>
        <w:rPr>
          <w:rFonts w:ascii="Arial" w:cs="Arial" w:eastAsia="Arial" w:hAnsi="Arial"/>
          <w:sz w:val="22"/>
          <w:szCs w:val="22"/>
        </w:rPr>
        <w:t xml:space="preserve">The golden dataset's four-category structure (graph/research/image/edge) made RAGAS scores interpretable by failure mode rather than as a single opaque number</w:t>
      </w:r>
    </w:p>
    <w:p>
      <w:r>
        <w:t xml:space="preserve"/>
      </w:r>
    </w:p>
    <w:p>
      <w:pPr>
        <w:pStyle w:val="Heading2"/>
        <w:spacing w:after="80" w:before="240"/>
      </w:pPr>
      <w:r>
        <w:rPr>
          <w:rFonts w:ascii="Arial" w:cs="Arial" w:eastAsia="Arial" w:hAnsi="Arial"/>
          <w:b/>
          <w:bCs/>
          <w:sz w:val="28"/>
          <w:szCs w:val="28"/>
        </w:rPr>
        <w:t xml:space="preserve">8.2 What Didn't Work or Required Iteration</w:t>
      </w:r>
    </w:p>
    <w:p>
      <w:pPr>
        <w:pStyle w:val="ListParagraph"/>
        <w:numPr>
          <w:ilvl w:val="0"/>
          <w:numId w:val="2"/>
        </w:numPr>
        <w:spacing w:after="60" w:before="60"/>
      </w:pPr>
      <w:r>
        <w:rPr>
          <w:rFonts w:ascii="Arial" w:cs="Arial" w:eastAsia="Arial" w:hAnsi="Arial"/>
          <w:sz w:val="22"/>
          <w:szCs w:val="22"/>
        </w:rPr>
        <w:t xml:space="preserve">LLaMA-3.1-8B as the RAGAS judge produced inconsistent faithfulness scores — same answer scored differently on consecutive runs. The fix was switching to the 70B model for final benchmarks.</w:t>
      </w:r>
    </w:p>
    <w:p>
      <w:pPr>
        <w:pStyle w:val="ListParagraph"/>
        <w:numPr>
          <w:ilvl w:val="0"/>
          <w:numId w:val="2"/>
        </w:numPr>
        <w:spacing w:after="60" w:before="60"/>
      </w:pPr>
      <w:r>
        <w:rPr>
          <w:rFonts w:ascii="Arial" w:cs="Arial" w:eastAsia="Arial" w:hAnsi="Arial"/>
          <w:sz w:val="22"/>
          <w:szCs w:val="22"/>
        </w:rPr>
        <w:t xml:space="preserve">Local VLM pipelines (Ollama + llava:7b) for image captioning were impractical at 3–4 minutes per page on CPU hardware — replaced by the text-based [IMAGE:] tag injection approach</w:t>
      </w:r>
    </w:p>
    <w:p>
      <w:pPr>
        <w:pStyle w:val="ListParagraph"/>
        <w:numPr>
          <w:ilvl w:val="0"/>
          <w:numId w:val="2"/>
        </w:numPr>
        <w:spacing w:after="60" w:before="60"/>
      </w:pPr>
      <w:r>
        <w:rPr>
          <w:rFonts w:ascii="Arial" w:cs="Arial" w:eastAsia="Arial" w:hAnsi="Arial"/>
          <w:sz w:val="22"/>
          <w:szCs w:val="22"/>
        </w:rPr>
        <w:t xml:space="preserve">Neo4j Aura free tier introduces cold-start latency (~3–5s) on the first query after a period of inactivity — a problem for demo scenarios</w:t>
      </w:r>
    </w:p>
    <w:p>
      <w:pPr>
        <w:pStyle w:val="ListParagraph"/>
        <w:numPr>
          <w:ilvl w:val="0"/>
          <w:numId w:val="2"/>
        </w:numPr>
        <w:spacing w:after="60" w:before="60"/>
      </w:pPr>
      <w:r>
        <w:rPr>
          <w:rFonts w:ascii="Arial" w:cs="Arial" w:eastAsia="Arial" w:hAnsi="Arial"/>
          <w:sz w:val="22"/>
          <w:szCs w:val="22"/>
        </w:rPr>
        <w:t xml:space="preserve">DuckDuckGo search is unreliable as a production web fallback — occasional empty results or blocks. A more robust alternative (SerpAPI, Tavily) would improve the edge case experience</w:t>
      </w:r>
    </w:p>
    <w:p>
      <w:r>
        <w:t xml:space="preserve"/>
      </w:r>
    </w:p>
    <w:p>
      <w:pPr>
        <w:pStyle w:val="Heading2"/>
        <w:spacing w:after="80" w:before="240"/>
      </w:pPr>
      <w:r>
        <w:rPr>
          <w:rFonts w:ascii="Arial" w:cs="Arial" w:eastAsia="Arial" w:hAnsi="Arial"/>
          <w:b/>
          <w:bCs/>
          <w:sz w:val="28"/>
          <w:szCs w:val="28"/>
        </w:rPr>
        <w:t xml:space="preserve">8.3 RAGAS Score Guidance</w:t>
      </w:r>
    </w:p>
    <w:p>
      <w:pPr>
        <w:spacing w:after="80" w:before="80"/>
      </w:pPr>
      <w:r>
        <w:rPr>
          <w:rFonts w:ascii="Arial" w:cs="Arial" w:eastAsia="Arial" w:hAnsi="Arial"/>
          <w:sz w:val="22"/>
          <w:szCs w:val="22"/>
        </w:rPr>
        <w:t xml:space="preserve">Scores below are indicative targets based on the 20-question golden dataset. Actual scores will vary with model versions and corpus content.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Metric</w:t>
            </w:r>
          </w:p>
        </w:tc>
        <w:tc>
          <w:tcPr>
            <w:tcW w:type="dxa" w:w="6360"/>
            <w:gridSpan w:val="1"/>
            <w:tcBorders>
              <w:top w:val="single" w:color="2E75B6" w:sz="2"/>
              <w:left w:val="single" w:color="2E75B6" w:sz="2"/>
              <w:bottom w:val="single" w:color="2E75B6" w:sz="2"/>
              <w:right w:val="single" w:color="2E75B6" w:sz="2"/>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Target &amp; Interpretation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Faithfulness ≥ 0.80</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Critical for medical safety — every claim must be grounded in retrieved context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Answer Relevancy ≥ 0.75</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Answer must address the question; below 0.60 indicates prompt or routing issues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Context Precision ≥ 0.70</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Retrieved chunks should be useful; low precision → MMR lambda or RRF k needs tuning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Context Recall ≥ 0.70</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Ground truth info should be in context; low recall → K_DENSE/K_SPARSE too low</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Image Retrieval = 1.00</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Binary: image questions must have [IMAGE:] tags; anything below 1.0 indicates Fix 1 regression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Web Fallback = 1.00</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Out-of-corpus queries must trigger 🌐 indicator; below 1.0 means proactive patterns need updating</w:t>
            </w:r>
          </w:p>
        </w:tc>
      </w:tr>
    </w:tbl>
    <w:p>
      <w:pPr>
        <w:pBdr>
          <w:bottom w:val="single" w:color="AAAAAA" w:sz="4"/>
        </w:pBdr>
        <w:spacing w:after="160" w:before="160"/>
      </w:pPr>
      <w:r>
        <w:t xml:space="preserve"/>
      </w:r>
    </w:p>
    <w:p>
      <w:pPr>
        <w:pStyle w:val="Heading1"/>
        <w:spacing w:after="120" w:before="360"/>
      </w:pPr>
      <w:r>
        <w:rPr>
          <w:rFonts w:ascii="Arial" w:cs="Arial" w:eastAsia="Arial" w:hAnsi="Arial"/>
          <w:b/>
          <w:bCs/>
          <w:sz w:val="36"/>
          <w:szCs w:val="36"/>
        </w:rPr>
        <w:t xml:space="preserve">9. Conclusion</w:t>
      </w:r>
    </w:p>
    <w:p>
      <w:r>
        <w:t xml:space="preserve"/>
      </w:r>
    </w:p>
    <w:p>
      <w:pPr>
        <w:spacing w:after="80" w:before="80"/>
      </w:pPr>
      <w:r>
        <w:rPr>
          <w:rFonts w:ascii="Arial" w:cs="Arial" w:eastAsia="Arial" w:hAnsi="Arial"/>
          <w:sz w:val="22"/>
          <w:szCs w:val="22"/>
        </w:rPr>
        <w:t xml:space="preserve">MedChat demonstrates that a clinically meaningful cancer assistant is achievable without frontier GPU infrastructure. The combination of hybrid retrieval, a purpose-built knowledge graph, and proactive web fallback addresses the three core failure modes of medical RAG systems: retrieval gaps, hallucination, and staleness.</w:t>
      </w:r>
    </w:p>
    <w:p>
      <w:r>
        <w:t xml:space="preserve"/>
      </w:r>
    </w:p>
    <w:p>
      <w:pPr>
        <w:spacing w:after="80" w:before="80"/>
      </w:pPr>
      <w:r>
        <w:rPr>
          <w:rFonts w:ascii="Arial" w:cs="Arial" w:eastAsia="Arial" w:hAnsi="Arial"/>
          <w:sz w:val="22"/>
          <w:szCs w:val="22"/>
        </w:rPr>
        <w:t xml:space="preserve">The most important engineering decision in the project was separating concerns at every level: separate retrieval indices for content vs. images, separate Cypher query templates for each clinical intent, separate evaluation tracks for retrieval vs. generation failures, and separate query modes exposed directly to users rather than hidden behind an opaque routing layer.</w:t>
      </w:r>
    </w:p>
    <w:p>
      <w:r>
        <w:t xml:space="preserve"/>
      </w:r>
    </w:p>
    <w:p>
      <w:pPr>
        <w:spacing w:after="80" w:before="80"/>
      </w:pPr>
      <w:r>
        <w:rPr>
          <w:rFonts w:ascii="Arial" w:cs="Arial" w:eastAsia="Arial" w:hAnsi="Arial"/>
          <w:sz w:val="22"/>
          <w:szCs w:val="22"/>
        </w:rPr>
        <w:t xml:space="preserve">The project also demonstrated that rigorous evaluation is not a post-hoc activity. Implementing RAGAS from Week 8 onwards, with a carefully designed golden dataset, was what allowed the team to diagnose and fix the image retrieval and web fallback problems systematically rather than empirically.</w:t>
      </w:r>
    </w:p>
    <w:p>
      <w:r>
        <w:t xml:space="preserve"/>
      </w:r>
    </w:p>
    <w:p>
      <w:pPr>
        <w:pStyle w:val="Heading2"/>
        <w:spacing w:after="80" w:before="240"/>
      </w:pPr>
      <w:r>
        <w:rPr>
          <w:rFonts w:ascii="Arial" w:cs="Arial" w:eastAsia="Arial" w:hAnsi="Arial"/>
          <w:b/>
          <w:bCs/>
          <w:sz w:val="28"/>
          <w:szCs w:val="28"/>
        </w:rPr>
        <w:t xml:space="preserve">9.1 Recommended Future Improvements</w:t>
      </w:r>
    </w:p>
    <w:p>
      <w:pPr>
        <w:pStyle w:val="ListParagraph"/>
        <w:numPr>
          <w:ilvl w:val="0"/>
          <w:numId w:val="2"/>
        </w:numPr>
        <w:spacing w:after="60" w:before="60"/>
      </w:pPr>
      <w:r>
        <w:rPr>
          <w:rFonts w:ascii="Arial" w:cs="Arial" w:eastAsia="Arial" w:hAnsi="Arial"/>
          <w:sz w:val="22"/>
          <w:szCs w:val="22"/>
        </w:rPr>
        <w:t xml:space="preserve">Replace DuckDuckGo with a production-grade web search API (Tavily or SerpAPI) for more reliable fallback</w:t>
      </w:r>
    </w:p>
    <w:p>
      <w:pPr>
        <w:pStyle w:val="ListParagraph"/>
        <w:numPr>
          <w:ilvl w:val="0"/>
          <w:numId w:val="2"/>
        </w:numPr>
        <w:spacing w:after="60" w:before="60"/>
      </w:pPr>
      <w:r>
        <w:rPr>
          <w:rFonts w:ascii="Arial" w:cs="Arial" w:eastAsia="Arial" w:hAnsi="Arial"/>
          <w:sz w:val="22"/>
          <w:szCs w:val="22"/>
        </w:rPr>
        <w:t xml:space="preserve">Add a cross-encoder reranker (e.g., cross-encoder/ms-marco-MiniLM-L-6-v2) as a post-MMR step for further precision gains</w:t>
      </w:r>
    </w:p>
    <w:p>
      <w:pPr>
        <w:pStyle w:val="ListParagraph"/>
        <w:numPr>
          <w:ilvl w:val="0"/>
          <w:numId w:val="2"/>
        </w:numPr>
        <w:spacing w:after="60" w:before="60"/>
      </w:pPr>
      <w:r>
        <w:rPr>
          <w:rFonts w:ascii="Arial" w:cs="Arial" w:eastAsia="Arial" w:hAnsi="Arial"/>
          <w:sz w:val="22"/>
          <w:szCs w:val="22"/>
        </w:rPr>
        <w:t xml:space="preserve">Expand the knowledge graph to include more drug protocols, international guidelines (NCCN, ESMO), and paediatric oncology pathways</w:t>
      </w:r>
    </w:p>
    <w:p>
      <w:pPr>
        <w:pStyle w:val="ListParagraph"/>
        <w:numPr>
          <w:ilvl w:val="0"/>
          <w:numId w:val="2"/>
        </w:numPr>
        <w:spacing w:after="60" w:before="60"/>
      </w:pPr>
      <w:r>
        <w:rPr>
          <w:rFonts w:ascii="Arial" w:cs="Arial" w:eastAsia="Arial" w:hAnsi="Arial"/>
          <w:sz w:val="22"/>
          <w:szCs w:val="22"/>
        </w:rPr>
        <w:t xml:space="preserve">Implement TruLens alongside RAGAS for online production monitoring and drift detection</w:t>
      </w:r>
    </w:p>
    <w:p>
      <w:pPr>
        <w:pStyle w:val="ListParagraph"/>
        <w:numPr>
          <w:ilvl w:val="0"/>
          <w:numId w:val="2"/>
        </w:numPr>
        <w:spacing w:after="60" w:before="60"/>
      </w:pPr>
      <w:r>
        <w:rPr>
          <w:rFonts w:ascii="Arial" w:cs="Arial" w:eastAsia="Arial" w:hAnsi="Arial"/>
          <w:sz w:val="22"/>
          <w:szCs w:val="22"/>
        </w:rPr>
        <w:t xml:space="preserve">Evaluate MedGemma (Google) as a domain-adapted alternative to LLaMA for generation — early benchmarks suggest stronger medical reasoning on multimodal tasks</w:t>
      </w:r>
    </w:p>
    <w:p>
      <w:pPr>
        <w:pStyle w:val="ListParagraph"/>
        <w:numPr>
          <w:ilvl w:val="0"/>
          <w:numId w:val="2"/>
        </w:numPr>
        <w:spacing w:after="60" w:before="60"/>
      </w:pPr>
      <w:r>
        <w:rPr>
          <w:rFonts w:ascii="Arial" w:cs="Arial" w:eastAsia="Arial" w:hAnsi="Arial"/>
          <w:sz w:val="22"/>
          <w:szCs w:val="22"/>
        </w:rPr>
        <w:t xml:space="preserve">Add de-identification (PII stripping) to the patient report upload path for HIPAA/GDPR compliance in any production deployment</w:t>
      </w:r>
    </w:p>
    <w:p>
      <w:pPr>
        <w:pStyle w:val="ListParagraph"/>
        <w:numPr>
          <w:ilvl w:val="0"/>
          <w:numId w:val="2"/>
        </w:numPr>
        <w:spacing w:after="60" w:before="60"/>
      </w:pPr>
      <w:r>
        <w:rPr>
          <w:rFonts w:ascii="Arial" w:cs="Arial" w:eastAsia="Arial" w:hAnsi="Arial"/>
          <w:sz w:val="22"/>
          <w:szCs w:val="22"/>
        </w:rPr>
        <w:t xml:space="preserve">Explore text-to-Cypher with fine-tuned or instruction-tuned models to expand graph query coverage beyond the six pre-written templates</w:t>
      </w:r>
    </w:p>
    <w:p>
      <w:r>
        <w:t xml:space="preserve"/>
      </w:r>
    </w:p>
    <w:p>
      <w:pPr>
        <w:pBdr>
          <w:bottom w:val="single" w:color="AAAAAA" w:sz="4"/>
        </w:pBdr>
        <w:spacing w:after="160" w:before="160"/>
      </w:pPr>
      <w:r>
        <w:t xml:space="preserve"/>
      </w:r>
    </w:p>
    <w:p>
      <w:r>
        <w:t xml:space="preserve"/>
      </w:r>
    </w:p>
    <w:p>
      <w:pPr>
        <w:spacing w:before="160"/>
        <w:jc w:val="center"/>
      </w:pPr>
      <w:r>
        <w:rPr>
          <w:rFonts w:ascii="Arial" w:cs="Arial" w:eastAsia="Arial" w:hAnsi="Arial"/>
          <w:i/>
          <w:iCs/>
          <w:color w:val="888888"/>
          <w:sz w:val="18"/>
          <w:szCs w:val="18"/>
        </w:rPr>
        <w:t xml:space="preserve">Confidential — Internal Use Only  |  Aziro Technologies  |  MedChat v5.1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2A44"/>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FA3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2026-04-21T05:55:24.226Z</dcterms:created>
  <dcterms:modified xsi:type="dcterms:W3CDTF">2026-04-21T05:55:24.227Z</dcterms:modified>
</cp:coreProperties>
</file>

<file path=docProps/custom.xml><?xml version="1.0" encoding="utf-8"?>
<Properties xmlns="http://schemas.openxmlformats.org/officeDocument/2006/custom-properties" xmlns:vt="http://schemas.openxmlformats.org/officeDocument/2006/docPropsVTypes"/>
</file>