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-&gt; continuous tables - grouped columns - </w:t>
      </w:r>
      <w:r w:rsidDel="00000000" w:rsidR="00000000" w:rsidRPr="00000000">
        <w:rPr/>
        <w:drawing>
          <wp:inline distB="114300" distT="114300" distL="114300" distR="114300">
            <wp:extent cx="4681538" cy="365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65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-&gt;Extract images, how we can use images for chunking -&gt; images index , understand that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-&gt;extract tables properly -&gt; grouped columns -&gt; possibility of losing data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Note down all the challenges faced during the tasks in the entire process.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-&gt; Load images using pymupdf4llm - in same format - store in one index and then feed into llm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Using only lines keyword-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14542" cy="32051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542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Lines_strict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pandas to convert to dataframes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Tasks for the week  3-&gt;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1.Whatever docs-&gt; extract docs -&gt; experiment chunking strategies as well 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Understand chunking strategies , what is there, etc.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28/01/2026 - gemini 3.5 use karenge cuz woh free hai-&gt; it will not work with FAISS so work with ChromaDB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images - we can use gemini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Gemini - &gt; free?!!!??!?!??!?!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qwen thought for 24secs for a hello T_T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29/01/26 - &gt; extract and try out chunking strategies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Try using yolo???? Or gemini 3.5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gemini -&gt; use chromadb cuz it doesnt work with faiss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Groq is free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RETRIEVAL -&gt;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Core Retrieval Approaches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Dense Retrieval</w:t>
        </w:r>
      </w:hyperlink>
      <w:r w:rsidDel="00000000" w:rsidR="00000000" w:rsidRPr="00000000">
        <w:rPr>
          <w:rtl w:val="0"/>
        </w:rPr>
        <w:t xml:space="preserve">: Uses semantic vector search with embedding models to find conceptually similar chunks, excellent for natural language but can miss exact terms.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Sparse Retrieval</w:t>
        </w:r>
      </w:hyperlink>
      <w:r w:rsidDel="00000000" w:rsidR="00000000" w:rsidRPr="00000000">
        <w:rPr>
          <w:rtl w:val="0"/>
        </w:rPr>
        <w:t xml:space="preserve">: Keyword-based (like BM25), fast and precise for exact matches, but lacks semantic understanding.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Hybrid Search</w:t>
        </w:r>
      </w:hyperlink>
      <w:r w:rsidDel="00000000" w:rsidR="00000000" w:rsidRPr="00000000">
        <w:rPr>
          <w:rtl w:val="0"/>
        </w:rPr>
        <w:t xml:space="preserve">: Combines dense and sparse methods (often with Reciprocal Rank Fusion) to get the best of both worlds, now a standard for robust RAG.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Questions to ask : </w:t>
      </w:r>
    </w:p>
    <w:p w:rsidR="00000000" w:rsidDel="00000000" w:rsidP="00000000" w:rsidRDefault="00000000" w:rsidRPr="00000000" w14:paraId="0000003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Basic Retrieval Questions (Check Simple RAG Accuracy)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purpose of the MaaS360 Best Practices Guide?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actions can MaaS360 take when a device falls out of compliance?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the four types of policies most companies have? (Page 4)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are passcodes considered the first line of defense?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the recommended passcode requirements?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recommended minimum passcode length?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difference between iOS and Android encryption handling?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the recommendations under Best Practice #4?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does Best Practice #7 suggest regarding OTA distribution?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does Best Practice #10 recommend for monitoring devices?</w:t>
      </w:r>
    </w:p>
    <w:p w:rsidR="00000000" w:rsidDel="00000000" w:rsidP="00000000" w:rsidRDefault="00000000" w:rsidRPr="00000000" w14:paraId="0000003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2. Table-Specific Questions (Test Table Extraction)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Types of Passcodes Table (Page 5)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the different types of passcodes listed?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difference between Numeric and Alphanumeric passcodes?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additional requirement does “Complex, Alphanumeric with Special Characters” include?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passcode type is Android-only?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Give examples of complex passcodes from the table.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Compare Simple vs Pattern passcodes.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3. Reasoning / Analytical Questions (Multi-Chunk Retrieval)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might an organization restrict device features differently for company-owned vs personal devices?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is encryption considered a must-have even if it causes user resistance?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is testing policies before deployment important?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MaaS360 reduce IT department workload?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MaaS360 balance security with employee productivity?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4. Image / Screenshot Based Questions (Critical for Multimodal RAG)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screenshots on Pages 6–14: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settings are available in the Configure Passcode Policy screen?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options appear under Enforcement Actions in the Compliance Engine screenshot?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is displayed in the My Alert Center dashboard?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does the Wi-Fi / WPA2 profile configuration screen show?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the different alert colors and what do they represent?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These test whether OCR text from screenshots is retrievable.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5. Advanced Multi-Modal + Cross-Section Questions (RAG Stress Test)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passcode policies support encryption enforcement?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Compare Best Practice #2 and Best Practice #3 in terms of security layering.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MaaS360 help enforce compliance automatically?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 how app management policies help reduce corporate data leakage.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relationship between containerization and encryption?</w:t>
        <w:br w:type="textWrapping"/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6. Enterprise-Level Scenario Questions (Great for Demo)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are very strong for your internship presentation: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an Android device does not support encryption, what should be done?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can MaaS360 handle repeated policy violations?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can OTA configuration reduce IT overhead?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an employee leaves the company, how does MaaS360 handle corporate data?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can MaaS360 prevent data leakage via third-party apps?</w:t>
        <w:br w:type="textWrapping"/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7. Multi-Modal Agent Evaluation Questions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are useful to test your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Multi-Modal RAG Agent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Summarize the passcode configuration interface shown in the screenshot.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 all enforcement options visible in the Compliance Engine image.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Convert the passcode types table into structured JSON.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Summarize the My Alert Center dashboard.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visual elements indicate device compliance status?</w:t>
        <w:br w:type="textWrapping"/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Answer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Main contents of the document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0" w:lineRule="auto"/>
        <w:ind w:left="1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Copyright and Legal Notice – IBM MaaS360 (Fiberlink) copyright statement, licensing disclaimer, trademark notice, and company address (May 2016).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Best Practice #6 – Use a FIPS‑Compliant Container for Email and Content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Explanation of why a secure container is needed (encryption, preventing unauthorized backups, copy‑paste, attachment blocking, consistent user experience).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Our Recommendations – four actions:</w:t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Block native email capabilities on the device</w:t>
      </w:r>
    </w:p>
    <w:p w:rsidR="00000000" w:rsidDel="00000000" w:rsidP="00000000" w:rsidRDefault="00000000" w:rsidRPr="00000000" w14:paraId="0000007B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Block Gmail</w:t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Encrypt emails</w:t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Encrypt attachments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How MaaS360 Helps – Description of the MaaS360 Secure Productivity Suite, including: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Secure container for email, contacts, calendars, documents, intranet, SharePoint, Fileshare, OneDrive.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Policy controls for data movement, sharing, forwarding, copying/pasting.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Selective wipe of lost or stolen devices.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App Catalog that separates personal and corporate apps and allows push of market/enterprise apps.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Policy‑Configuration Interface – Overview of the “Configure Device Security Policies” / “Configure Data Protection Policies” screen, listing the toggle options that can be set: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Restrict Jailbreak / Rooted Device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Prevent Access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Enable Timebomb (days)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Restrict File Export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Restrict Clipboard Export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Restrict Screenshot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Restrict Print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Restrict Import Files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Allowance settings for calendar, documents, etc.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Purpose: block compromised/rooted devices, limit data export, enforce time‑based deletion of corporate data.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Search Results Screen – Description of a device‑management console view that lists enrolled devices with columns such as: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Device Name, Username, OS Version, Platform, Managed/Enrolled status, Last Report, Wi‑Fi configuration.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Controls for Configure, Customize Columns, Export CSV, and pagination (“Jump To Page”, “Display 1‑4 of … Records”).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Rule="auto"/>
        <w:ind w:left="1000" w:hanging="360"/>
        <w:rPr>
          <w:sz w:val="20"/>
          <w:szCs w:val="20"/>
        </w:rPr>
      </w:pPr>
      <w:r w:rsidDel="00000000" w:rsidR="00000000" w:rsidRPr="00000000">
        <w:rPr>
          <w:color w:val="31333f"/>
          <w:sz w:val="20"/>
          <w:szCs w:val="20"/>
          <w:rtl w:val="0"/>
        </w:rPr>
        <w:t xml:space="preserve">Home Page – My Alert Center – Explanation of the dashboard that shows alerts (red, green, blue) which can be customized; red/green for security alerts, blue for informational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1333f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31333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sca_esv=52c5a2861f1d2a5f&amp;rlz=1C1CHBD_en-GBIN1197IN1197&amp;sxsrf=ANbL-n7Uu-VJy5YAnWky62TijsBXuC486g%3A1770787433772&amp;q=Dense+Retrieval&amp;sa=X&amp;sqi=2&amp;ved=2ahUKEwjftNmf2dCSAxUpTGcHHTehDcQQxccNegUIgAEQAQ&amp;mstk=AUtExfDPNSZfK9adSRJx1AzrL8E-TTNQoQ26G-_UpMG-wjXCsSPQzW0gA5Dzp0u5t5FDw3SzXuG8z5bZ-Ye-EwpW8qUNSaw0-2NljujuiEfOXBk0fA74Ucvdpx-kt3MPDbYKbak&amp;csui=3" TargetMode="External"/><Relationship Id="rId10" Type="http://schemas.openxmlformats.org/officeDocument/2006/relationships/image" Target="media/image6.png"/><Relationship Id="rId13" Type="http://schemas.openxmlformats.org/officeDocument/2006/relationships/hyperlink" Target="https://www.google.com/search?sca_esv=52c5a2861f1d2a5f&amp;rlz=1C1CHBD_en-GBIN1197IN1197&amp;sxsrf=ANbL-n7Uu-VJy5YAnWky62TijsBXuC486g%3A1770787433772&amp;q=Hybrid+Search&amp;sa=X&amp;sqi=2&amp;ved=2ahUKEwjftNmf2dCSAxUpTGcHHTehDcQQxccNegUIrQEQAQ&amp;mstk=AUtExfDPNSZfK9adSRJx1AzrL8E-TTNQoQ26G-_UpMG-wjXCsSPQzW0gA5Dzp0u5t5FDw3SzXuG8z5bZ-Ye-EwpW8qUNSaw0-2NljujuiEfOXBk0fA74Ucvdpx-kt3MPDbYKbak&amp;csui=3" TargetMode="External"/><Relationship Id="rId12" Type="http://schemas.openxmlformats.org/officeDocument/2006/relationships/hyperlink" Target="https://www.google.com/search?sca_esv=52c5a2861f1d2a5f&amp;rlz=1C1CHBD_en-GBIN1197IN1197&amp;sxsrf=ANbL-n7Uu-VJy5YAnWky62TijsBXuC486g%3A1770787433772&amp;q=Sparse+Retrieval&amp;sa=X&amp;sqi=2&amp;ved=2ahUKEwjftNmf2dCSAxUpTGcHHTehDcQQxccNegUInQEQAQ&amp;mstk=AUtExfDPNSZfK9adSRJx1AzrL8E-TTNQoQ26G-_UpMG-wjXCsSPQzW0gA5Dzp0u5t5FDw3SzXuG8z5bZ-Ye-EwpW8qUNSaw0-2NljujuiEfOXBk0fA74Ucvdpx-kt3MPDbYKbak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