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黑体" w:hAnsi="黑体" w:eastAsia="黑体"/>
          <w:b/>
          <w:sz w:val="44"/>
        </w:rPr>
        <w:t>基于负荷特性的地铁车站通风空调系统容量配置优化研究</w:t>
      </w:r>
    </w:p>
    <w:p>
      <w:pPr>
        <w:jc w:val="center"/>
      </w:pPr>
      <w:r>
        <w:rPr>
          <w:rFonts w:ascii="宋体" w:hAnsi="宋体" w:eastAsia="宋体"/>
          <w:sz w:val="32"/>
        </w:rPr>
        <w:t>本科毕业论文终稿</w:t>
      </w:r>
    </w:p>
    <w:p>
      <w:pPr>
        <w:spacing w:before="360"/>
        <w:jc w:val="center"/>
      </w:pPr>
      <w:r>
        <w:rPr>
          <w:rFonts w:ascii="宋体" w:hAnsi="宋体" w:eastAsia="宋体"/>
          <w:sz w:val="28"/>
        </w:rPr>
        <w:t>学生姓名：__________</w:t>
      </w:r>
    </w:p>
    <w:p>
      <w:pPr>
        <w:spacing w:before="360"/>
        <w:jc w:val="center"/>
      </w:pPr>
      <w:r>
        <w:rPr>
          <w:rFonts w:ascii="宋体" w:hAnsi="宋体" w:eastAsia="宋体"/>
          <w:sz w:val="28"/>
        </w:rPr>
        <w:t>专业班级：__________</w:t>
      </w:r>
    </w:p>
    <w:p>
      <w:pPr>
        <w:spacing w:before="360"/>
        <w:jc w:val="center"/>
      </w:pPr>
      <w:r>
        <w:rPr>
          <w:rFonts w:ascii="宋体" w:hAnsi="宋体" w:eastAsia="宋体"/>
          <w:sz w:val="28"/>
        </w:rPr>
        <w:t>指导教师：__________</w:t>
      </w:r>
    </w:p>
    <w:p>
      <w:pPr>
        <w:spacing w:before="360"/>
        <w:jc w:val="center"/>
      </w:pPr>
      <w:r>
        <w:rPr>
          <w:rFonts w:ascii="宋体" w:hAnsi="宋体" w:eastAsia="宋体"/>
          <w:sz w:val="28"/>
        </w:rPr>
        <w:t>完成日期：2026年5月</w:t>
      </w:r>
    </w:p>
    <w:p>
      <w:r>
        <w:br w:type="page"/>
      </w:r>
    </w:p>
    <w:p>
      <w:pPr>
        <w:jc w:val="center"/>
      </w:pPr>
      <w:r>
        <w:rPr>
          <w:rFonts w:ascii="黑体" w:hAnsi="黑体" w:eastAsia="黑体"/>
          <w:b/>
          <w:sz w:val="32"/>
        </w:rPr>
        <w:t>目录</w:t>
      </w:r>
    </w:p>
    <w:p>
      <w:pPr>
        <w:spacing w:before="160" w:after="160"/>
        <w:jc w:val="center"/>
      </w:pPr>
      <w:r>
        <w:rPr>
          <w:rFonts w:ascii="宋体" w:hAnsi="宋体" w:eastAsia="宋体"/>
          <w:b/>
          <w:color w:val="505050"/>
          <w:sz w:val="21"/>
        </w:rPr>
        <w:t>【目录说明：提交前可在 Word 中右键更新域或按学校模板生成目录】</w:t>
      </w:r>
    </w:p>
    <w:p>
      <w:r>
        <w:br w:type="page"/>
      </w:r>
    </w:p>
    <w:p>
      <w:pPr>
        <w:jc w:val="center"/>
      </w:pPr>
      <w:r>
        <w:rPr>
          <w:rFonts w:ascii="黑体" w:hAnsi="黑体" w:eastAsia="黑体"/>
          <w:b/>
          <w:sz w:val="32"/>
        </w:rPr>
        <w:t>摘要</w:t>
      </w:r>
    </w:p>
    <w:p>
      <w:pPr>
        <w:spacing w:line="360" w:lineRule="auto" w:after="80"/>
        <w:ind w:firstLine="480"/>
      </w:pPr>
      <w:r>
        <w:rPr>
          <w:rFonts w:ascii="宋体" w:hAnsi="宋体" w:eastAsia="宋体"/>
          <w:sz w:val="22"/>
        </w:rPr>
        <w:t>本文以地铁车站站台区域通风空调系统为研究对象，针对传统容量配置中设备容量偏大、系统长期低负荷运行和全生命周期成本较高等问题，构建了基于负荷特性的容量配置优化方法。研究首先对车站客流、气象、站内环境和系统运行数据进行预处理，采用 Pearson 相关系数法筛选关键影响因素，并将总冷负荷分解为人员负荷、新风负荷、围护结构负荷和设备散热负荷。随后，利用 K-Means 聚类识别典型日负荷模式，建立 LSTM 神经网络负荷预测模型，并与 BP 神经网络进行对比。最后，以全生命周期成本最小和容量冗余率最小为目标，采用 NSGA-II 算法求解 Pareto 解集，并通过 TOPSIS 方法确定推荐容量配置方案。结果表明，LSTM 模型测试集 RMSE 为 13.28 kW，R2 为 0.9557，预测效果优于 BP 模型；优化方案使冷源总容量由 440 kW 降至 360 kW，综合容量冗余率由 33.40% 降至 9.72%，全生命周期成本降低 21.23%，年运行能耗降低 21.93%。研究结果可为地铁车站通风空调系统节能设计和既有车站改造提供参考。</w:t>
      </w:r>
    </w:p>
    <w:p>
      <w:pPr>
        <w:spacing w:line="360" w:lineRule="auto"/>
      </w:pPr>
      <w:r>
        <w:rPr>
          <w:rFonts w:ascii="宋体" w:hAnsi="宋体" w:eastAsia="宋体"/>
          <w:b/>
          <w:sz w:val="22"/>
        </w:rPr>
        <w:t>关键词：地铁车站；通风空调系统；负荷预测；LSTM；NSGA-II；容量配置优化</w:t>
      </w:r>
    </w:p>
    <w:p>
      <w:r>
        <w:br w:type="page"/>
      </w:r>
    </w:p>
    <w:p>
      <w:pPr>
        <w:pStyle w:val="Heading1"/>
        <w:jc w:val="center"/>
      </w:pPr>
      <w:r>
        <w:t>基于负荷特性的地铁车站通风空调系统容量配置优化研究</w:t>
      </w:r>
    </w:p>
    <w:p>
      <w:pPr>
        <w:pStyle w:val="Heading1"/>
      </w:pPr>
      <w:r>
        <w:t>第1章 绪论</w:t>
      </w:r>
    </w:p>
    <w:p>
      <w:pPr>
        <w:pStyle w:val="Heading2"/>
      </w:pPr>
      <w:r>
        <w:t>1.1 研究背景</w:t>
      </w:r>
    </w:p>
    <w:p>
      <w:pPr>
        <w:spacing w:line="360" w:lineRule="auto" w:after="80"/>
        <w:ind w:firstLine="480"/>
      </w:pPr>
      <w:r>
        <w:rPr>
          <w:rFonts w:ascii="宋体" w:hAnsi="宋体" w:eastAsia="宋体"/>
          <w:sz w:val="22"/>
        </w:rPr>
        <w:t>随着城市轨道交通建设规模不断扩大，地铁已经成为大中型城市公共交通体系中的重要组成部分。地铁车站通常位于地下空间，具有围护结构封闭、人员密度变化大、设备发热集中、运行时间长等特点。为保证站台区域的热舒适性、空气品质和设备安全运行，通风空调系统需要长期承担温湿度调节、新风供给、排热排湿和空气组织控制等任务。因此，通风空调系统是地铁车站机电系统中能耗占比较高、运行调节较复杂的关键系统之一。</w:t>
      </w:r>
    </w:p>
    <w:p>
      <w:pPr>
        <w:spacing w:line="360" w:lineRule="auto" w:after="80"/>
        <w:ind w:firstLine="480"/>
      </w:pPr>
      <w:r>
        <w:rPr>
          <w:rFonts w:ascii="宋体" w:hAnsi="宋体" w:eastAsia="宋体"/>
          <w:sz w:val="22"/>
        </w:rPr>
        <w:t>传统地铁车站通风空调系统容量配置通常依据设计峰值工况、远期客流预测和一定安全裕度确定。该方法能够保证系统在极端工况下具备足够的供冷和通风能力，但也容易带来设备容量偏大、初投资增加和长期低负荷运行等问题。在实际运营中，车站客流具有明显的早晚高峰、工作日与节假日差异，同时室外气象条件也随时间持续波动。若设备容量配置不能准确反映实际负荷变化规律，冷水机组、风机、水泵等设备将长期处于部分负荷状态，导致系统综合能效下降，节能运行空间受限。</w:t>
      </w:r>
    </w:p>
    <w:p>
      <w:pPr>
        <w:spacing w:line="360" w:lineRule="auto" w:after="80"/>
        <w:ind w:firstLine="480"/>
      </w:pPr>
      <w:r>
        <w:rPr>
          <w:rFonts w:ascii="宋体" w:hAnsi="宋体" w:eastAsia="宋体"/>
          <w:sz w:val="22"/>
        </w:rPr>
        <w:t>近年来，随着数据采集、运行监测和智能优化技术的发展，基于实际运行数据开展地铁车站通风空调负荷分析和容量优化成为可能。通过采集客流、气象、站内环境和设备运行数据，可以识别影响系统负荷变化的关键因素，建立负荷预测模型，并进一步结合多目标优化算法形成更加合理的设备容量配置方案。与单纯依赖设计峰值的容量配置方法相比，基于负荷特性的优化方法更能体现车站实际运行需求，有助于降低容量冗余、减少全生命周期成本并提升系统运行效率。</w:t>
      </w:r>
    </w:p>
    <w:p>
      <w:pPr>
        <w:spacing w:line="360" w:lineRule="auto" w:after="80"/>
        <w:ind w:firstLine="480"/>
      </w:pPr>
      <w:r>
        <w:rPr>
          <w:rFonts w:ascii="宋体" w:hAnsi="宋体" w:eastAsia="宋体"/>
          <w:sz w:val="22"/>
        </w:rPr>
        <w:t>本文以地铁车站站台区域通风空调系统为研究对象，围绕负荷特性分析、负荷预测建模和容量配置优化展开研究。研究工作以 MATLAB R2022b 为主要计算平台，按照“数据准备、影响因素分析、负荷预测建模、容量配置优化、方案评估”的技术路线，构建面向工程应用的地铁车站通风空调系统容量配置优化方法。</w:t>
      </w:r>
    </w:p>
    <w:p>
      <w:pPr>
        <w:pStyle w:val="Heading2"/>
      </w:pPr>
      <w:r>
        <w:t>1.2 研究目的与意义</w:t>
      </w:r>
    </w:p>
    <w:p>
      <w:pPr>
        <w:spacing w:line="360" w:lineRule="auto" w:after="80"/>
        <w:ind w:firstLine="480"/>
      </w:pPr>
      <w:r>
        <w:rPr>
          <w:rFonts w:ascii="宋体" w:hAnsi="宋体" w:eastAsia="宋体"/>
          <w:sz w:val="22"/>
        </w:rPr>
        <w:t>本文研究目的在于：基于地铁车站运行数据，分析站台区域通风空调系统负荷变化规律，识别主要影响因素，建立负荷预测模型，并在预测负荷基础上开展设备容量配置优化，最终形成兼顾负荷满足性、经济性和节能性的容量配置方案。</w:t>
      </w:r>
    </w:p>
    <w:p>
      <w:pPr>
        <w:spacing w:line="360" w:lineRule="auto" w:after="80"/>
        <w:ind w:firstLine="480"/>
      </w:pPr>
      <w:r>
        <w:rPr>
          <w:rFonts w:ascii="宋体" w:hAnsi="宋体" w:eastAsia="宋体"/>
          <w:sz w:val="22"/>
        </w:rPr>
        <w:t>具体而言，本文希望解决以下问题：</w:t>
      </w:r>
    </w:p>
    <w:p>
      <w:pPr>
        <w:spacing w:line="360" w:lineRule="auto" w:after="80"/>
        <w:ind w:firstLine="480"/>
      </w:pPr>
      <w:r>
        <w:rPr>
          <w:rFonts w:ascii="宋体" w:hAnsi="宋体" w:eastAsia="宋体"/>
          <w:sz w:val="22"/>
        </w:rPr>
        <w:t>第一，明确地铁车站站台区域空调负荷的主要构成及其变化规律。通过对人员负荷、新风负荷、围护结构负荷和设备散热负荷进行分项分析，揭示不同负荷组成对系统总负荷的贡献程度。</w:t>
      </w:r>
    </w:p>
    <w:p>
      <w:pPr>
        <w:spacing w:line="360" w:lineRule="auto" w:after="80"/>
        <w:ind w:firstLine="480"/>
      </w:pPr>
      <w:r>
        <w:rPr>
          <w:rFonts w:ascii="宋体" w:hAnsi="宋体" w:eastAsia="宋体"/>
          <w:sz w:val="22"/>
        </w:rPr>
        <w:t>第二，识别影响系统负荷的关键因素。通过 Pearson 相关系数法分析客流、气象、站内环境和时间特征与系统总负荷之间的关系，为后续预测模型输入特征构建提供依据。</w:t>
      </w:r>
    </w:p>
    <w:p>
      <w:pPr>
        <w:spacing w:line="360" w:lineRule="auto" w:after="80"/>
        <w:ind w:firstLine="480"/>
      </w:pPr>
      <w:r>
        <w:rPr>
          <w:rFonts w:ascii="宋体" w:hAnsi="宋体" w:eastAsia="宋体"/>
          <w:sz w:val="22"/>
        </w:rPr>
        <w:t>第三，建立适用于地铁车站空调负荷变化特征的预测模型。考虑地铁车站负荷具有明显的时序相关性，本文采用 LSTM 神经网络进行负荷预测，并与 BP 神经网络模型进行对比，以验证时序模型在负荷预测中的适用性。</w:t>
      </w:r>
    </w:p>
    <w:p>
      <w:pPr>
        <w:spacing w:line="360" w:lineRule="auto" w:after="80"/>
        <w:ind w:firstLine="480"/>
      </w:pPr>
      <w:r>
        <w:rPr>
          <w:rFonts w:ascii="宋体" w:hAnsi="宋体" w:eastAsia="宋体"/>
          <w:sz w:val="22"/>
        </w:rPr>
        <w:t>第四，构建通风空调系统容量配置多目标优化模型。以全生命周期成本最小和容量冗余率最小为优化目标，综合考虑设备容量边界、台数组合、负荷满足和系统匹配等工程约束，利用 NSGA-II 算法求解 Pareto 解集，并采用 TOPSIS 方法确定综合最优方案。</w:t>
      </w:r>
    </w:p>
    <w:p>
      <w:pPr>
        <w:spacing w:line="360" w:lineRule="auto" w:after="80"/>
        <w:ind w:firstLine="480"/>
      </w:pPr>
      <w:r>
        <w:rPr>
          <w:rFonts w:ascii="宋体" w:hAnsi="宋体" w:eastAsia="宋体"/>
          <w:sz w:val="22"/>
        </w:rPr>
        <w:t>本文研究具有一定理论意义和工程意义。理论上，本文将负荷影响因素分析、时序预测模型和多目标优化方法结合起来，形成了较完整的地铁车站通风空调系统容量配置优化方法链。工程上，研究结果可为新建地铁车站通风空调系统设计、既有车站设备改造和运行节能优化提供参考，有助于降低设备容量冗余和全生命周期成本，提高系统运行经济性与调节灵活性。</w:t>
      </w:r>
    </w:p>
    <w:p>
      <w:pPr>
        <w:pStyle w:val="Heading2"/>
      </w:pPr>
      <w:r>
        <w:t>1.3 国内外研究现状</w:t>
      </w:r>
    </w:p>
    <w:p>
      <w:pPr>
        <w:spacing w:line="360" w:lineRule="auto" w:after="80"/>
        <w:ind w:firstLine="480"/>
      </w:pPr>
      <w:r>
        <w:rPr>
          <w:rFonts w:ascii="宋体" w:hAnsi="宋体" w:eastAsia="宋体"/>
          <w:sz w:val="22"/>
        </w:rPr>
        <w:t>在正式梳理研究现状之前，有必要说明本文文献综述的组织逻辑。本文研究对象既涉及地铁车站通风空调系统，也涉及负荷预测和容量优化方法，因此研究现状不宜仅按单一学科分类展开。本文将相关研究归纳为系统节能、负荷特性、负荷预测和容量优化四个方面，并在每一类研究之后总结其对本文工作的启示。</w:t>
      </w:r>
    </w:p>
    <w:p>
      <w:pPr>
        <w:pStyle w:val="Heading3"/>
      </w:pPr>
      <w:r>
        <w:t>1.3.1 地铁车站通风空调系统负荷特性研究</w:t>
      </w:r>
    </w:p>
    <w:p>
      <w:pPr>
        <w:spacing w:line="360" w:lineRule="auto" w:after="80"/>
        <w:ind w:firstLine="480"/>
      </w:pPr>
      <w:r>
        <w:rPr>
          <w:rFonts w:ascii="宋体" w:hAnsi="宋体" w:eastAsia="宋体"/>
          <w:sz w:val="22"/>
        </w:rPr>
        <w:t>地铁车站通风空调系统负荷受多种因素共同影响，包括室外气象条件、客流强度、列车运行、站内设备发热、围护结构传热以及新风需求等。与普通公共建筑相比，地铁车站位于地下空间，受太阳辐射直接影响较小，但人员流动和列车运行带来的热湿扰动更加明显。此外，车站运行时间长，设备系统启停频繁，负荷具有明显的时变性和不均匀性。</w:t>
      </w:r>
    </w:p>
    <w:p>
      <w:pPr>
        <w:spacing w:line="360" w:lineRule="auto" w:after="80"/>
        <w:ind w:firstLine="480"/>
      </w:pPr>
      <w:r>
        <w:rPr>
          <w:rFonts w:ascii="宋体" w:hAnsi="宋体" w:eastAsia="宋体"/>
          <w:sz w:val="22"/>
        </w:rPr>
        <w:t>已有研究表明，地铁车站通风空调系统是城市轨道交通运营能耗的重要组成部分，节能优化需要同时关注系统设计容量和实际运行策略。一些实测研究指出，既有车站实际客流往往低于远期设计客流，且高峰持续时间有限，导致系统在大量时段处于低负荷运行状态。这说明仅依据远期峰值客流进行容量配置，容易造成设备容量偏大和运行效率下降。</w:t>
      </w:r>
    </w:p>
    <w:p>
      <w:pPr>
        <w:spacing w:line="360" w:lineRule="auto" w:after="80"/>
        <w:ind w:firstLine="480"/>
      </w:pPr>
      <w:r>
        <w:rPr>
          <w:rFonts w:ascii="宋体" w:hAnsi="宋体" w:eastAsia="宋体"/>
          <w:sz w:val="22"/>
        </w:rPr>
        <w:t>在负荷特性分析方面，研究者通常通过实测数据、能耗监测平台或仿真模型分析车站冷负荷组成及其影响因素。人员负荷和新风负荷与客流变化密切相关，围护结构负荷与室外环境及地下空间传热特征有关，设备散热负荷则与照明、电扶梯、屏蔽门及其他机电设备运行状态有关。通过分项负荷计算，可以更清晰地解释系统总负荷来源，为容量配置和运行控制提供依据。</w:t>
      </w:r>
    </w:p>
    <w:p>
      <w:pPr>
        <w:pStyle w:val="Heading3"/>
      </w:pPr>
      <w:r>
        <w:t>1.3.2 空调负荷预测方法研究</w:t>
      </w:r>
    </w:p>
    <w:p>
      <w:pPr>
        <w:spacing w:line="360" w:lineRule="auto" w:after="80"/>
        <w:ind w:firstLine="480"/>
      </w:pPr>
      <w:r>
        <w:rPr>
          <w:rFonts w:ascii="宋体" w:hAnsi="宋体" w:eastAsia="宋体"/>
          <w:sz w:val="22"/>
        </w:rPr>
        <w:t>空调负荷预测是通风空调系统优化设计和运行控制的重要基础。传统预测方法包括线性回归、时间序列模型和灰色预测等，这类方法结构简单、解释性较好，但在处理复杂非线性关系和高维时序数据时存在一定局限。随着机器学习和深度学习方法的发展，BP 神经网络、支持向量机、随机森林、XGBoost、LSTM 等模型逐渐应用于建筑和轨道交通空调负荷预测。</w:t>
      </w:r>
    </w:p>
    <w:p>
      <w:pPr>
        <w:spacing w:line="360" w:lineRule="auto" w:after="80"/>
        <w:ind w:firstLine="480"/>
      </w:pPr>
      <w:r>
        <w:rPr>
          <w:rFonts w:ascii="宋体" w:hAnsi="宋体" w:eastAsia="宋体"/>
          <w:sz w:val="22"/>
        </w:rPr>
        <w:t>地铁车站空调负荷具有明显的时间相关性。当前时刻负荷不仅受当前客流和气象条件影响，也与前一时段或前若干时段的运行状态有关。LSTM 神经网络能够通过门控结构捕捉时序数据中的长期和短期依赖关系，因此适合用于具有连续时间特征的负荷预测问题。相比之下，BP 神经网络虽然可以拟合非线性关系，但其对时间序列依赖的表达能力相对有限，需要依靠人工构造滞后特征来弥补时序信息不足。</w:t>
      </w:r>
    </w:p>
    <w:p>
      <w:pPr>
        <w:spacing w:line="360" w:lineRule="auto" w:after="80"/>
        <w:ind w:firstLine="480"/>
      </w:pPr>
      <w:r>
        <w:rPr>
          <w:rFonts w:ascii="宋体" w:hAnsi="宋体" w:eastAsia="宋体"/>
          <w:sz w:val="22"/>
        </w:rPr>
        <w:t>在地铁车站通风空调系统中，负荷预测不仅用于运行调节，也可服务于容量配置优化。若能够较准确地预测典型工况和高峰工况下的负荷需求，便可以在保证安全裕度的前提下减少不必要的设备冗余，使设备容量配置更贴合实际运行需求。</w:t>
      </w:r>
    </w:p>
    <w:p>
      <w:pPr>
        <w:pStyle w:val="Heading3"/>
      </w:pPr>
      <w:r>
        <w:t>1.3.3 通风空调系统容量优化研究</w:t>
      </w:r>
    </w:p>
    <w:p>
      <w:pPr>
        <w:spacing w:line="360" w:lineRule="auto" w:after="80"/>
        <w:ind w:firstLine="480"/>
      </w:pPr>
      <w:r>
        <w:rPr>
          <w:rFonts w:ascii="宋体" w:hAnsi="宋体" w:eastAsia="宋体"/>
          <w:sz w:val="22"/>
        </w:rPr>
        <w:t>通风空调系统容量优化的核心是在满足负荷需求和运行安全的前提下，合理确定冷源、风机、水泵和空气处理设备的容量及台数组合。传统设计方法通常以最大负荷作为设备选型依据，并叠加经验安全系数。该方法简单可靠，但难以兼顾全年或典型周期内的负荷分布特征，容易造成设备运行点偏离高效区。</w:t>
      </w:r>
    </w:p>
    <w:p>
      <w:pPr>
        <w:spacing w:line="360" w:lineRule="auto" w:after="80"/>
        <w:ind w:firstLine="480"/>
      </w:pPr>
      <w:r>
        <w:rPr>
          <w:rFonts w:ascii="宋体" w:hAnsi="宋体" w:eastAsia="宋体"/>
          <w:sz w:val="22"/>
        </w:rPr>
        <w:t>近年来，多目标优化方法逐渐应用于通风空调系统设计与运行优化。对于地铁车站容量配置问题，优化目标往往不止一个：一方面需要降低初投资、运行维护费用和全生命周期成本；另一方面需要减少容量冗余，提高部分负荷下的调节灵活性。由于经济性、节能性和安全裕度之间存在一定权衡关系，单目标优化难以全面反映工程需求。</w:t>
      </w:r>
    </w:p>
    <w:p>
      <w:pPr>
        <w:spacing w:line="360" w:lineRule="auto" w:after="80"/>
        <w:ind w:firstLine="480"/>
      </w:pPr>
      <w:r>
        <w:rPr>
          <w:rFonts w:ascii="宋体" w:hAnsi="宋体" w:eastAsia="宋体"/>
          <w:sz w:val="22"/>
        </w:rPr>
        <w:t>NSGA-II 是一种常用的多目标遗传算法，适合求解目标之间存在冲突、约束条件较多的工程优化问题。该算法能够得到一组 Pareto 非劣解，为设计人员提供不同成本和冗余水平下的备选方案。为了从 Pareto 解集中选择最终推荐方案，可进一步引入 TOPSIS 等多属性决策方法，根据不同指标与理想解之间的距离确定综合排序结果。</w:t>
      </w:r>
    </w:p>
    <w:p>
      <w:pPr>
        <w:spacing w:line="360" w:lineRule="auto" w:after="80"/>
        <w:ind w:firstLine="480"/>
      </w:pPr>
      <w:r>
        <w:rPr>
          <w:rFonts w:ascii="宋体" w:hAnsi="宋体" w:eastAsia="宋体"/>
          <w:sz w:val="22"/>
        </w:rPr>
        <w:t>总体来看，现有研究已经在地铁车站负荷特性分析、空调负荷预测和系统节能优化方面取得一定进展，但仍存在以下不足：第一，部分研究更关注运行控制，对容量配置优化关注不足；第二，负荷预测与容量优化之间的衔接不够紧密；第三，优化目标中对容量冗余率、全生命周期成本和工程约束的综合考虑仍有提升空间。因此，有必要构建从负荷特性分析到容量配置优化的完整方法链，为地铁车站通风空调系统设计和改造提供更具工程适用性的决策依据。</w:t>
      </w:r>
    </w:p>
    <w:p>
      <w:pPr>
        <w:pStyle w:val="Heading2"/>
      </w:pPr>
      <w:r>
        <w:t>1.4 研究内容与技术路线</w:t>
      </w:r>
    </w:p>
    <w:p>
      <w:pPr>
        <w:pStyle w:val="Heading3"/>
      </w:pPr>
      <w:r>
        <w:t>1.4.1 本文研究思路</w:t>
      </w:r>
    </w:p>
    <w:p>
      <w:pPr>
        <w:spacing w:line="360" w:lineRule="auto" w:after="80"/>
        <w:ind w:firstLine="480"/>
      </w:pPr>
      <w:r>
        <w:rPr>
          <w:rFonts w:ascii="宋体" w:hAnsi="宋体" w:eastAsia="宋体"/>
          <w:sz w:val="22"/>
        </w:rPr>
        <w:t>本文研究思路可以概括为“先认识负荷，再预测负荷，最后优化容量”。其中，负荷特性分析用于回答“系统负荷由什么决定”，负荷预测模型用于回答“未来或典型工况下负荷是多少”，容量配置优化用于回答“设备容量和台数组合应如何确定”。三个环节之间具有递进关系：若缺少负荷特性分析，预测模型输入缺乏依据；若缺少负荷预测，容量优化只能依赖保守峰值；若缺少容量优化，负荷预测结果难以转化为工程设计方案。</w:t>
      </w:r>
    </w:p>
    <w:p>
      <w:pPr>
        <w:pStyle w:val="Heading3"/>
      </w:pPr>
      <w:r>
        <w:t>1.4.2 技术路线</w:t>
      </w:r>
    </w:p>
    <w:p>
      <w:pPr>
        <w:spacing w:before="160" w:after="160"/>
        <w:jc w:val="center"/>
      </w:pPr>
      <w:r>
        <w:rPr>
          <w:rFonts w:ascii="宋体" w:hAnsi="宋体" w:eastAsia="宋体"/>
          <w:b/>
          <w:color w:val="505050"/>
          <w:sz w:val="21"/>
        </w:rPr>
        <w:t>【图1-1 技术路线图：数据收集与预处理 → 负荷影响因素筛选 → 负荷分项分解 → 典型负荷曲线聚类 → LSTM负荷预测 → NSGA-II容量优化 → TOPSIS方案排序 → 工程评价】</w:t>
      </w:r>
    </w:p>
    <w:p>
      <w:pPr>
        <w:pStyle w:val="Heading3"/>
      </w:pPr>
      <w:r>
        <w:t>1.4.3 本文主要创新点</w:t>
      </w:r>
    </w:p>
    <w:p>
      <w:pPr>
        <w:spacing w:line="360" w:lineRule="auto" w:after="80"/>
        <w:ind w:firstLine="480"/>
      </w:pPr>
      <w:r>
        <w:rPr>
          <w:rFonts w:ascii="宋体" w:hAnsi="宋体" w:eastAsia="宋体"/>
          <w:sz w:val="22"/>
        </w:rPr>
        <w:t>相较于单独开展负荷预测或单独进行设备容量估算的研究，本文的特点主要体现在以下三个方面。第一，构建了负荷特性分析、负荷预测和容量优化相衔接的方法链，使数据分析结果能够直接服务于设备选型。第二，将 LSTM 时序预测结果引入容量配置优化过程，减少单纯依赖经验峰值带来的过度保守。第三，在容量优化中同时考虑全生命周期成本和综合容量冗余率，并结合 TOPSIS 方法输出可用于工程比选的推荐方案。</w:t>
      </w:r>
    </w:p>
    <w:p>
      <w:pPr>
        <w:spacing w:line="360" w:lineRule="auto" w:after="80"/>
        <w:ind w:firstLine="480"/>
      </w:pPr>
      <w:r>
        <w:rPr>
          <w:rFonts w:ascii="宋体" w:hAnsi="宋体" w:eastAsia="宋体"/>
          <w:sz w:val="22"/>
        </w:rPr>
        <w:t>本文围绕地铁车站站台区域通风空调系统容量配置优化问题展开研究，主要研究内容如下。</w:t>
      </w:r>
    </w:p>
    <w:p>
      <w:pPr>
        <w:spacing w:line="360" w:lineRule="auto" w:after="80"/>
        <w:ind w:firstLine="480"/>
      </w:pPr>
      <w:r>
        <w:rPr>
          <w:rFonts w:ascii="宋体" w:hAnsi="宋体" w:eastAsia="宋体"/>
          <w:sz w:val="22"/>
        </w:rPr>
        <w:t>第一，进行数据收集与预处理。以车站客流、室外气象、站内环境和系统运行数据为基础，统一时间戳并进行等间隔对齐，对缺失值和异常值进行处理，并对连续变量进行标准化，形成后续建模所需的数据集。</w:t>
      </w:r>
    </w:p>
    <w:p>
      <w:pPr>
        <w:spacing w:line="360" w:lineRule="auto" w:after="80"/>
        <w:ind w:firstLine="480"/>
      </w:pPr>
      <w:r>
        <w:rPr>
          <w:rFonts w:ascii="宋体" w:hAnsi="宋体" w:eastAsia="宋体"/>
          <w:sz w:val="22"/>
        </w:rPr>
        <w:t>第二，开展负荷影响因素分析和负荷分解。采用 Pearson 相关系数法计算候选特征与系统总负荷之间的相关性，筛选关键影响因素；同时将系统总负荷分解为人员负荷、新风负荷、围护结构负荷和设备散热负荷，分析各分项负荷占比。</w:t>
      </w:r>
    </w:p>
    <w:p>
      <w:pPr>
        <w:spacing w:line="360" w:lineRule="auto" w:after="80"/>
        <w:ind w:firstLine="480"/>
      </w:pPr>
      <w:r>
        <w:rPr>
          <w:rFonts w:ascii="宋体" w:hAnsi="宋体" w:eastAsia="宋体"/>
          <w:sz w:val="22"/>
        </w:rPr>
        <w:t>第三，提取典型负荷模式。对日负荷曲线进行归一化处理，采用 K-Means 聚类方法识别典型负荷曲线类型，并结合轮廓系数和工程可解释性确定聚类结果，将聚类标签作为后续预测模型的辅助特征。</w:t>
      </w:r>
    </w:p>
    <w:p>
      <w:pPr>
        <w:spacing w:line="360" w:lineRule="auto" w:after="80"/>
        <w:ind w:firstLine="480"/>
      </w:pPr>
      <w:r>
        <w:rPr>
          <w:rFonts w:ascii="宋体" w:hAnsi="宋体" w:eastAsia="宋体"/>
          <w:sz w:val="22"/>
        </w:rPr>
        <w:t>第四，建立空调负荷预测模型。以气象特征、客流特征、时间特征、滞后负荷特征和聚类标签为输入，构建 LSTM 神经网络预测模型，并与 BP 神经网络进行对比。采用 RMSE、MAE、MAPE 和 R² 等指标评价预测效果。</w:t>
      </w:r>
    </w:p>
    <w:p>
      <w:pPr>
        <w:spacing w:line="360" w:lineRule="auto" w:after="80"/>
        <w:ind w:firstLine="480"/>
      </w:pPr>
      <w:r>
        <w:rPr>
          <w:rFonts w:ascii="宋体" w:hAnsi="宋体" w:eastAsia="宋体"/>
          <w:sz w:val="22"/>
        </w:rPr>
        <w:t>第五，构建容量配置多目标优化模型。以负荷预测结果为基础，确定冷水机组、送排风机、冷冻水泵、冷却水泵和空气处理机组等设备的容量及台数组合，以全生命周期成本最小和容量冗余率最小为优化目标，利用 NSGA-II 算法求解 Pareto 解集。</w:t>
      </w:r>
    </w:p>
    <w:p>
      <w:pPr>
        <w:spacing w:line="360" w:lineRule="auto" w:after="80"/>
        <w:ind w:firstLine="480"/>
      </w:pPr>
      <w:r>
        <w:rPr>
          <w:rFonts w:ascii="宋体" w:hAnsi="宋体" w:eastAsia="宋体"/>
          <w:sz w:val="22"/>
        </w:rPr>
        <w:t>第六，进行优化方案评价。采用 TOPSIS 方法从 Pareto 解集中选取综合最优方案，并将优化方案与传统基准方案进行对比，分析容量冗余率、全生命周期成本、年运行能耗、设备匹配性和工程可行性等指标。</w:t>
      </w:r>
    </w:p>
    <w:p>
      <w:pPr>
        <w:spacing w:line="360" w:lineRule="auto" w:after="80"/>
        <w:ind w:firstLine="480"/>
      </w:pPr>
      <w:r>
        <w:rPr>
          <w:rFonts w:ascii="宋体" w:hAnsi="宋体" w:eastAsia="宋体"/>
          <w:sz w:val="22"/>
        </w:rPr>
        <w:t>本文技术路线如图1-1所示。</w:t>
      </w:r>
    </w:p>
    <w:p>
      <w:pPr>
        <w:spacing w:line="360" w:lineRule="auto" w:after="80"/>
        <w:ind w:firstLine="480"/>
      </w:pPr>
      <w:r>
        <w:rPr>
          <w:rFonts w:ascii="宋体" w:hAnsi="宋体" w:eastAsia="宋体"/>
          <w:sz w:val="22"/>
        </w:rPr>
        <w:t>图1-1 技术路线图</w:t>
      </w:r>
    </w:p>
    <w:p>
      <w:pPr>
        <w:spacing w:line="360" w:lineRule="auto" w:after="80"/>
        <w:ind w:firstLine="480"/>
      </w:pPr>
      <w:r>
        <w:rPr>
          <w:rFonts w:ascii="宋体" w:hAnsi="宋体" w:eastAsia="宋体"/>
          <w:sz w:val="22"/>
        </w:rPr>
        <w:t>数据收集与预处理 → 负荷影响因素筛选 → 负荷分项分解 → 典型负荷曲线聚类 → LSTM 负荷预测 → NSGA-II 多目标容量优化 → TOPSIS 方案排序 → 工程评价</w:t>
      </w:r>
    </w:p>
    <w:p>
      <w:pPr>
        <w:pStyle w:val="Heading2"/>
      </w:pPr>
      <w:r>
        <w:t>1.5 本章小结</w:t>
      </w:r>
    </w:p>
    <w:p>
      <w:pPr>
        <w:spacing w:line="360" w:lineRule="auto" w:after="80"/>
        <w:ind w:firstLine="480"/>
      </w:pPr>
      <w:r>
        <w:rPr>
          <w:rFonts w:ascii="宋体" w:hAnsi="宋体" w:eastAsia="宋体"/>
          <w:sz w:val="22"/>
        </w:rPr>
        <w:t>本章首先介绍了地铁车站通风空调系统容量配置优化的研究背景，指出传统容量配置方法存在设备容量偏大、系统长期低负荷运行和节能潜力受限等问题。随后阐述了本文研究目的与意义，梳理了地铁车站负荷特性、空调负荷预测和容量优化方面的研究现状。在此基础上，明确了本文的主要研究内容和技术路线，为后续章节的数据分析、模型构建和优化评价奠定基础。</w:t>
      </w:r>
    </w:p>
    <w:p>
      <w:pPr>
        <w:pStyle w:val="Heading1"/>
      </w:pPr>
      <w:r>
        <w:t>第2章 地铁车站通风空调系统负荷特性与容量配置理论基础</w:t>
      </w:r>
    </w:p>
    <w:p>
      <w:pPr>
        <w:pStyle w:val="Heading2"/>
      </w:pPr>
      <w:r>
        <w:t>2.1 地铁车站通风空调系统组成</w:t>
      </w:r>
    </w:p>
    <w:p>
      <w:pPr>
        <w:spacing w:before="160" w:after="160"/>
        <w:jc w:val="center"/>
      </w:pPr>
      <w:r>
        <w:rPr>
          <w:rFonts w:ascii="宋体" w:hAnsi="宋体" w:eastAsia="宋体"/>
          <w:b/>
          <w:color w:val="505050"/>
          <w:sz w:val="21"/>
        </w:rPr>
        <w:t>【图2-1 地铁车站通风空调系统组成示意图：冷水机组、冷冻水泵、冷却水泵、空气处理机组、站台送风机、站台排风机、站台区域】</w:t>
      </w:r>
    </w:p>
    <w:p>
      <w:pPr>
        <w:spacing w:line="360" w:lineRule="auto" w:after="80"/>
        <w:ind w:firstLine="480"/>
      </w:pPr>
      <w:r>
        <w:rPr>
          <w:rFonts w:ascii="宋体" w:hAnsi="宋体" w:eastAsia="宋体"/>
          <w:sz w:val="22"/>
        </w:rPr>
        <w:t>为便于后续容量优化建模，本文将系统设备按功能划分为四类：冷源侧设备、空气侧设备、水系统设备和空气处理设备。该划分方式既符合地铁环控系统工程设计习惯，也便于建立设备容量、台数和系统负荷之间的对应关系。</w:t>
      </w:r>
    </w:p>
    <w:p>
      <w:pPr>
        <w:spacing w:line="360" w:lineRule="auto" w:after="80"/>
        <w:ind w:firstLine="480"/>
      </w:pPr>
      <w:r>
        <w:rPr>
          <w:rFonts w:ascii="宋体" w:hAnsi="宋体" w:eastAsia="宋体"/>
          <w:sz w:val="22"/>
        </w:rPr>
        <w:t>地铁车站通风空调系统主要用于维持车站公共区、设备管理用房及相关区域的热湿环境和空气品质。本文研究对象为地铁车站站台区域通风空调系统，重点关注与站台区域冷负荷承担和空气处理相关的主要设备，包括冷源系统、送排风系统、水系统和空气处理机组等。</w:t>
      </w:r>
    </w:p>
    <w:p>
      <w:pPr>
        <w:spacing w:line="360" w:lineRule="auto" w:after="80"/>
        <w:ind w:firstLine="480"/>
      </w:pPr>
      <w:r>
        <w:rPr>
          <w:rFonts w:ascii="宋体" w:hAnsi="宋体" w:eastAsia="宋体"/>
          <w:sz w:val="22"/>
        </w:rPr>
        <w:t>冷源系统通常由冷水机组及其附属设备组成，主要功能是为空气处理设备提供冷冻水。冷水机组的总装机容量、单机容量和台数组合直接影响系统在高峰负荷和部分负荷下的运行效率。若冷水机组容量过大，虽然可以保证峰值负荷需求，但在多数低负荷时段容易出现低负荷率运行，导致机组效率下降；若容量偏小，则可能无法满足极端工况下的供冷需求。</w:t>
      </w:r>
    </w:p>
    <w:p>
      <w:pPr>
        <w:spacing w:line="360" w:lineRule="auto" w:after="80"/>
        <w:ind w:firstLine="480"/>
      </w:pPr>
      <w:r>
        <w:rPr>
          <w:rFonts w:ascii="宋体" w:hAnsi="宋体" w:eastAsia="宋体"/>
          <w:sz w:val="22"/>
        </w:rPr>
        <w:t>送排风系统主要由站台送风机、站台排风机及相关风道组成，承担送风、排风和空气组织调节任务。送风机容量决定站台区域的送风能力，排风机容量影响热湿空气和污染物排出效果。风机容量和台数组合不仅关系到空气品质，也影响系统运行能耗和调节灵活性。</w:t>
      </w:r>
    </w:p>
    <w:p>
      <w:pPr>
        <w:spacing w:line="360" w:lineRule="auto" w:after="80"/>
        <w:ind w:firstLine="480"/>
      </w:pPr>
      <w:r>
        <w:rPr>
          <w:rFonts w:ascii="宋体" w:hAnsi="宋体" w:eastAsia="宋体"/>
          <w:sz w:val="22"/>
        </w:rPr>
        <w:t>水系统主要包括冷冻水泵、冷却水泵、管网和阀门等。冷冻水泵负责冷冻水在冷水机组和空气处理设备之间循环，冷却水泵则服务于冷凝热排放过程。水泵容量选择需要与冷水机组容量和系统阻力相匹配。容量过大容易造成水泵能耗偏高，容量不足则可能导致换热能力下降。</w:t>
      </w:r>
    </w:p>
    <w:p>
      <w:pPr>
        <w:spacing w:line="360" w:lineRule="auto" w:after="80"/>
        <w:ind w:firstLine="480"/>
      </w:pPr>
      <w:r>
        <w:rPr>
          <w:rFonts w:ascii="宋体" w:hAnsi="宋体" w:eastAsia="宋体"/>
          <w:sz w:val="22"/>
        </w:rPr>
        <w:t>空气处理机组承担空气冷却、除湿和送风处理功能，是连接冷源侧和站台空气侧的重要设备。空气处理机组的名义处理能力需要与站台区域负荷和送风需求相协调。若空气处理能力与冷源、风机、水泵容量不匹配，系统整体运行效率和调节效果都会受到影响。</w:t>
      </w:r>
    </w:p>
    <w:p>
      <w:pPr>
        <w:spacing w:line="360" w:lineRule="auto" w:after="80"/>
        <w:ind w:firstLine="480"/>
      </w:pPr>
      <w:r>
        <w:rPr>
          <w:rFonts w:ascii="宋体" w:hAnsi="宋体" w:eastAsia="宋体"/>
          <w:sz w:val="22"/>
        </w:rPr>
        <w:t>因此，地铁车站通风空调系统容量配置不是单一设备容量选择问题，而是冷源、风机、水泵和空气处理设备之间的协同匹配问题。本文在容量优化过程中，将上述设备的容量和台数组合作为主要研究对象。</w:t>
      </w:r>
    </w:p>
    <w:p>
      <w:pPr>
        <w:pStyle w:val="Heading2"/>
      </w:pPr>
      <w:r>
        <w:t>2.2 站台区域空调负荷构成</w:t>
      </w:r>
    </w:p>
    <w:p>
      <w:pPr>
        <w:spacing w:line="360" w:lineRule="auto" w:after="80"/>
        <w:ind w:firstLine="480"/>
      </w:pPr>
      <w:r>
        <w:rPr>
          <w:rFonts w:ascii="宋体" w:hAnsi="宋体" w:eastAsia="宋体"/>
          <w:sz w:val="22"/>
        </w:rPr>
        <w:t>在实际工程计算中，人员负荷、新风负荷、围护结构负荷和设备散热负荷可分别按下列思路估算。人员负荷通常与站台人数、人体显热和潜热指标有关；新风负荷与新风量及室内外空气焓差有关；围护结构负荷与传热系数、传热面积和温差有关；设备散热负荷与设备功率及同时使用系数有关。上述负荷共同决定站台区域总冷负荷，也是后续容量配置的基础。</w:t>
      </w:r>
    </w:p>
    <w:p>
      <w:pPr>
        <w:spacing w:line="360" w:lineRule="auto" w:after="80"/>
        <w:ind w:firstLine="480"/>
      </w:pPr>
      <w:r>
        <w:rPr>
          <w:rFonts w:ascii="宋体" w:hAnsi="宋体" w:eastAsia="宋体"/>
          <w:sz w:val="22"/>
        </w:rPr>
        <w:t>表2-1 站台区域负荷组成及影响因素</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vAlign w:val="center"/>
            <w:shd w:fill="D9EAF7"/>
          </w:tcPr>
          <w:p>
            <w:pPr>
              <w:jc w:val="center"/>
            </w:pPr>
            <w:r/>
            <w:r>
              <w:rPr>
                <w:rFonts w:ascii="宋体" w:hAnsi="宋体" w:eastAsia="宋体"/>
                <w:b/>
                <w:sz w:val="18"/>
              </w:rPr>
              <w:t>负荷类型</w:t>
            </w:r>
          </w:p>
        </w:tc>
        <w:tc>
          <w:tcPr>
            <w:tcW w:type="dxa" w:w="2309"/>
            <w:vAlign w:val="center"/>
            <w:shd w:fill="D9EAF7"/>
          </w:tcPr>
          <w:p>
            <w:pPr>
              <w:jc w:val="center"/>
            </w:pPr>
            <w:r/>
            <w:r>
              <w:rPr>
                <w:rFonts w:ascii="宋体" w:hAnsi="宋体" w:eastAsia="宋体"/>
                <w:b/>
                <w:sz w:val="18"/>
              </w:rPr>
              <w:t>主要来源</w:t>
            </w:r>
          </w:p>
        </w:tc>
        <w:tc>
          <w:tcPr>
            <w:tcW w:type="dxa" w:w="2309"/>
            <w:vAlign w:val="center"/>
            <w:shd w:fill="D9EAF7"/>
          </w:tcPr>
          <w:p>
            <w:pPr>
              <w:jc w:val="center"/>
            </w:pPr>
            <w:r/>
            <w:r>
              <w:rPr>
                <w:rFonts w:ascii="宋体" w:hAnsi="宋体" w:eastAsia="宋体"/>
                <w:b/>
                <w:sz w:val="18"/>
              </w:rPr>
              <w:t>主要影响因素</w:t>
            </w:r>
          </w:p>
        </w:tc>
        <w:tc>
          <w:tcPr>
            <w:tcW w:type="dxa" w:w="2309"/>
            <w:vAlign w:val="center"/>
            <w:shd w:fill="D9EAF7"/>
          </w:tcPr>
          <w:p>
            <w:pPr>
              <w:jc w:val="center"/>
            </w:pPr>
            <w:r/>
            <w:r>
              <w:rPr>
                <w:rFonts w:ascii="宋体" w:hAnsi="宋体" w:eastAsia="宋体"/>
                <w:b/>
                <w:sz w:val="18"/>
              </w:rPr>
              <w:t>对容量配置的意义</w:t>
            </w:r>
          </w:p>
        </w:tc>
      </w:tr>
      <w:tr>
        <w:tc>
          <w:tcPr>
            <w:tcW w:type="dxa" w:w="2309"/>
            <w:vAlign w:val="center"/>
          </w:tcPr>
          <w:p>
            <w:pPr>
              <w:jc w:val="center"/>
            </w:pPr>
            <w:r/>
            <w:r>
              <w:rPr>
                <w:rFonts w:ascii="宋体" w:hAnsi="宋体" w:eastAsia="宋体"/>
                <w:b w:val="0"/>
                <w:sz w:val="18"/>
              </w:rPr>
              <w:t>人员负荷</w:t>
            </w:r>
          </w:p>
        </w:tc>
        <w:tc>
          <w:tcPr>
            <w:tcW w:type="dxa" w:w="2309"/>
            <w:vAlign w:val="center"/>
          </w:tcPr>
          <w:p>
            <w:pPr>
              <w:jc w:val="center"/>
            </w:pPr>
            <w:r/>
            <w:r>
              <w:rPr>
                <w:rFonts w:ascii="宋体" w:hAnsi="宋体" w:eastAsia="宋体"/>
                <w:b w:val="0"/>
                <w:sz w:val="18"/>
              </w:rPr>
              <w:t>乘客显热、潜热</w:t>
            </w:r>
          </w:p>
        </w:tc>
        <w:tc>
          <w:tcPr>
            <w:tcW w:type="dxa" w:w="2309"/>
            <w:vAlign w:val="center"/>
          </w:tcPr>
          <w:p>
            <w:pPr>
              <w:jc w:val="center"/>
            </w:pPr>
            <w:r/>
            <w:r>
              <w:rPr>
                <w:rFonts w:ascii="宋体" w:hAnsi="宋体" w:eastAsia="宋体"/>
                <w:b w:val="0"/>
                <w:sz w:val="18"/>
              </w:rPr>
              <w:t>进出站客流、站台滞留人数、停留时间</w:t>
            </w:r>
          </w:p>
        </w:tc>
        <w:tc>
          <w:tcPr>
            <w:tcW w:type="dxa" w:w="2309"/>
            <w:vAlign w:val="center"/>
          </w:tcPr>
          <w:p>
            <w:pPr>
              <w:jc w:val="center"/>
            </w:pPr>
            <w:r/>
            <w:r>
              <w:rPr>
                <w:rFonts w:ascii="宋体" w:hAnsi="宋体" w:eastAsia="宋体"/>
                <w:b w:val="0"/>
                <w:sz w:val="18"/>
              </w:rPr>
              <w:t>决定高峰时段负荷波动</w:t>
            </w:r>
          </w:p>
        </w:tc>
      </w:tr>
      <w:tr>
        <w:tc>
          <w:tcPr>
            <w:tcW w:type="dxa" w:w="2309"/>
            <w:vAlign w:val="center"/>
          </w:tcPr>
          <w:p>
            <w:pPr>
              <w:jc w:val="center"/>
            </w:pPr>
            <w:r/>
            <w:r>
              <w:rPr>
                <w:rFonts w:ascii="宋体" w:hAnsi="宋体" w:eastAsia="宋体"/>
                <w:b w:val="0"/>
                <w:sz w:val="18"/>
              </w:rPr>
              <w:t>新风负荷</w:t>
            </w:r>
          </w:p>
        </w:tc>
        <w:tc>
          <w:tcPr>
            <w:tcW w:type="dxa" w:w="2309"/>
            <w:vAlign w:val="center"/>
          </w:tcPr>
          <w:p>
            <w:pPr>
              <w:jc w:val="center"/>
            </w:pPr>
            <w:r/>
            <w:r>
              <w:rPr>
                <w:rFonts w:ascii="宋体" w:hAnsi="宋体" w:eastAsia="宋体"/>
                <w:b w:val="0"/>
                <w:sz w:val="18"/>
              </w:rPr>
              <w:t>室外新风处理</w:t>
            </w:r>
          </w:p>
        </w:tc>
        <w:tc>
          <w:tcPr>
            <w:tcW w:type="dxa" w:w="2309"/>
            <w:vAlign w:val="center"/>
          </w:tcPr>
          <w:p>
            <w:pPr>
              <w:jc w:val="left"/>
            </w:pPr>
            <w:r/>
            <w:r>
              <w:rPr>
                <w:rFonts w:ascii="宋体" w:hAnsi="宋体" w:eastAsia="宋体"/>
                <w:b w:val="0"/>
                <w:sz w:val="18"/>
              </w:rPr>
              <w:t>新风量、室外温湿度、站内空气品质要求</w:t>
            </w:r>
          </w:p>
        </w:tc>
        <w:tc>
          <w:tcPr>
            <w:tcW w:type="dxa" w:w="2309"/>
            <w:vAlign w:val="center"/>
          </w:tcPr>
          <w:p>
            <w:pPr>
              <w:jc w:val="center"/>
            </w:pPr>
            <w:r/>
            <w:r>
              <w:rPr>
                <w:rFonts w:ascii="宋体" w:hAnsi="宋体" w:eastAsia="宋体"/>
                <w:b w:val="0"/>
                <w:sz w:val="18"/>
              </w:rPr>
              <w:t>影响空调处理能力和除湿负担</w:t>
            </w:r>
          </w:p>
        </w:tc>
      </w:tr>
      <w:tr>
        <w:tc>
          <w:tcPr>
            <w:tcW w:type="dxa" w:w="2309"/>
            <w:vAlign w:val="center"/>
          </w:tcPr>
          <w:p>
            <w:pPr>
              <w:jc w:val="center"/>
            </w:pPr>
            <w:r/>
            <w:r>
              <w:rPr>
                <w:rFonts w:ascii="宋体" w:hAnsi="宋体" w:eastAsia="宋体"/>
                <w:b w:val="0"/>
                <w:sz w:val="18"/>
              </w:rPr>
              <w:t>围护结构负荷</w:t>
            </w:r>
          </w:p>
        </w:tc>
        <w:tc>
          <w:tcPr>
            <w:tcW w:type="dxa" w:w="2309"/>
            <w:vAlign w:val="center"/>
          </w:tcPr>
          <w:p>
            <w:pPr>
              <w:jc w:val="center"/>
            </w:pPr>
            <w:r/>
            <w:r>
              <w:rPr>
                <w:rFonts w:ascii="宋体" w:hAnsi="宋体" w:eastAsia="宋体"/>
                <w:b w:val="0"/>
                <w:sz w:val="18"/>
              </w:rPr>
              <w:t>地下结构传热</w:t>
            </w:r>
          </w:p>
        </w:tc>
        <w:tc>
          <w:tcPr>
            <w:tcW w:type="dxa" w:w="2309"/>
            <w:vAlign w:val="center"/>
          </w:tcPr>
          <w:p>
            <w:pPr>
              <w:jc w:val="center"/>
            </w:pPr>
            <w:r/>
            <w:r>
              <w:rPr>
                <w:rFonts w:ascii="宋体" w:hAnsi="宋体" w:eastAsia="宋体"/>
                <w:b w:val="0"/>
                <w:sz w:val="18"/>
              </w:rPr>
              <w:t>土壤温度、结构形式、温差</w:t>
            </w:r>
          </w:p>
        </w:tc>
        <w:tc>
          <w:tcPr>
            <w:tcW w:type="dxa" w:w="2309"/>
            <w:vAlign w:val="center"/>
          </w:tcPr>
          <w:p>
            <w:pPr>
              <w:jc w:val="center"/>
            </w:pPr>
            <w:r/>
            <w:r>
              <w:rPr>
                <w:rFonts w:ascii="宋体" w:hAnsi="宋体" w:eastAsia="宋体"/>
                <w:b w:val="0"/>
                <w:sz w:val="18"/>
              </w:rPr>
              <w:t>形成相对稳定的基础负荷</w:t>
            </w:r>
          </w:p>
        </w:tc>
      </w:tr>
      <w:tr>
        <w:tc>
          <w:tcPr>
            <w:tcW w:type="dxa" w:w="2309"/>
            <w:vAlign w:val="center"/>
          </w:tcPr>
          <w:p>
            <w:pPr>
              <w:jc w:val="center"/>
            </w:pPr>
            <w:r/>
            <w:r>
              <w:rPr>
                <w:rFonts w:ascii="宋体" w:hAnsi="宋体" w:eastAsia="宋体"/>
                <w:b w:val="0"/>
                <w:sz w:val="18"/>
              </w:rPr>
              <w:t>设备散热负荷</w:t>
            </w:r>
          </w:p>
        </w:tc>
        <w:tc>
          <w:tcPr>
            <w:tcW w:type="dxa" w:w="2309"/>
            <w:vAlign w:val="center"/>
          </w:tcPr>
          <w:p>
            <w:pPr>
              <w:jc w:val="center"/>
            </w:pPr>
            <w:r/>
            <w:r>
              <w:rPr>
                <w:rFonts w:ascii="宋体" w:hAnsi="宋体" w:eastAsia="宋体"/>
                <w:b w:val="0"/>
                <w:sz w:val="18"/>
              </w:rPr>
              <w:t>照明、电扶梯、屏蔽门等</w:t>
            </w:r>
          </w:p>
        </w:tc>
        <w:tc>
          <w:tcPr>
            <w:tcW w:type="dxa" w:w="2309"/>
            <w:vAlign w:val="center"/>
          </w:tcPr>
          <w:p>
            <w:pPr>
              <w:jc w:val="center"/>
            </w:pPr>
            <w:r/>
            <w:r>
              <w:rPr>
                <w:rFonts w:ascii="宋体" w:hAnsi="宋体" w:eastAsia="宋体"/>
                <w:b w:val="0"/>
                <w:sz w:val="18"/>
              </w:rPr>
              <w:t>设备功率、运行时间、同时使用系数</w:t>
            </w:r>
          </w:p>
        </w:tc>
        <w:tc>
          <w:tcPr>
            <w:tcW w:type="dxa" w:w="2309"/>
            <w:vAlign w:val="center"/>
          </w:tcPr>
          <w:p>
            <w:pPr>
              <w:jc w:val="center"/>
            </w:pPr>
            <w:r/>
            <w:r>
              <w:rPr>
                <w:rFonts w:ascii="宋体" w:hAnsi="宋体" w:eastAsia="宋体"/>
                <w:b w:val="0"/>
                <w:sz w:val="18"/>
              </w:rPr>
              <w:t>构成长期持续负荷</w:t>
            </w:r>
          </w:p>
        </w:tc>
      </w:tr>
    </w:tbl>
    <w:p/>
    <w:p>
      <w:pPr>
        <w:spacing w:line="360" w:lineRule="auto" w:after="80"/>
        <w:ind w:firstLine="480"/>
      </w:pPr>
      <w:r>
        <w:rPr>
          <w:rFonts w:ascii="宋体" w:hAnsi="宋体" w:eastAsia="宋体"/>
          <w:sz w:val="22"/>
        </w:rPr>
        <w:t>地铁车站站台区域空调负荷是多种热湿扰动共同作用的结果。根据负荷来源不同，本文将系统总负荷分解为人员负荷、新风负荷、围护结构负荷和设备散热负荷四类。</w:t>
      </w:r>
    </w:p>
    <w:p>
      <w:pPr>
        <w:spacing w:line="360" w:lineRule="auto" w:after="80"/>
        <w:ind w:firstLine="480"/>
      </w:pPr>
      <w:r>
        <w:rPr>
          <w:rFonts w:ascii="宋体" w:hAnsi="宋体" w:eastAsia="宋体"/>
          <w:sz w:val="22"/>
        </w:rPr>
        <w:t>人员负荷主要由乘客在站台区域停留和流动过程中产生的人体显热、潜热组成。人员负荷与进站客流、出站客流、站台滞留人数和停留时间密切相关。早晚高峰时段客流量较大，人员负荷随之增加；平峰时段客流下降，人员负荷也相应降低。</w:t>
      </w:r>
    </w:p>
    <w:p>
      <w:pPr>
        <w:spacing w:line="360" w:lineRule="auto" w:after="80"/>
        <w:ind w:firstLine="480"/>
      </w:pPr>
      <w:r>
        <w:rPr>
          <w:rFonts w:ascii="宋体" w:hAnsi="宋体" w:eastAsia="宋体"/>
          <w:sz w:val="22"/>
        </w:rPr>
        <w:t>新风负荷是由于引入室外新风而产生的冷负荷或热负荷。为了保证站台区域空气品质，通风空调系统需要根据人员数量和相关标准引入一定量的新风。新风负荷与室外空气温度、湿度、新风量以及室内设计状态有关。在夏季高温高湿条件下，新风处理通常会带来较大的冷却和除湿负担。</w:t>
      </w:r>
    </w:p>
    <w:p>
      <w:pPr>
        <w:spacing w:line="360" w:lineRule="auto" w:after="80"/>
        <w:ind w:firstLine="480"/>
      </w:pPr>
      <w:r>
        <w:rPr>
          <w:rFonts w:ascii="宋体" w:hAnsi="宋体" w:eastAsia="宋体"/>
          <w:sz w:val="22"/>
        </w:rPr>
        <w:t>围护结构负荷是由站台区域围护结构与周围环境之间的传热形成的负荷。地铁车站位于地下空间，围护结构传热特征与地上建筑不同。虽然地下空间受太阳辐射直接影响较弱，但围护结构热惰性较大，且受土壤温度、隧道热环境和车站结构形式影响。围护结构负荷通常具有相对平稳和滞后的变化特征。</w:t>
      </w:r>
    </w:p>
    <w:p>
      <w:pPr>
        <w:spacing w:line="360" w:lineRule="auto" w:after="80"/>
        <w:ind w:firstLine="480"/>
      </w:pPr>
      <w:r>
        <w:rPr>
          <w:rFonts w:ascii="宋体" w:hAnsi="宋体" w:eastAsia="宋体"/>
          <w:sz w:val="22"/>
        </w:rPr>
        <w:t>设备散热负荷主要来源于站台照明、电扶梯、屏蔽门、通信信号设备以及其他机电设备运行过程中产生的热量。该部分负荷与设备功率、运行时间和运行模式有关。对于地铁车站而言，设备运行时间较长，设备散热负荷是系统总负荷中的重要组成部分。</w:t>
      </w:r>
    </w:p>
    <w:p>
      <w:pPr>
        <w:spacing w:line="360" w:lineRule="auto" w:after="80"/>
        <w:ind w:firstLine="480"/>
      </w:pPr>
      <w:r>
        <w:rPr>
          <w:rFonts w:ascii="宋体" w:hAnsi="宋体" w:eastAsia="宋体"/>
          <w:sz w:val="22"/>
        </w:rPr>
        <w:t>系统总负荷可表示为：</w:t>
      </w:r>
    </w:p>
    <w:p>
      <w:pPr>
        <w:spacing w:line="360" w:lineRule="auto" w:after="80"/>
        <w:ind w:firstLine="480"/>
      </w:pPr>
      <w:r>
        <w:rPr>
          <w:rFonts w:ascii="宋体" w:hAnsi="宋体" w:eastAsia="宋体"/>
          <w:sz w:val="22"/>
        </w:rPr>
        <w:t>Q = Qp + Qf + Qe + Qm</w:t>
      </w:r>
    </w:p>
    <w:p>
      <w:pPr>
        <w:spacing w:line="360" w:lineRule="auto" w:after="80"/>
        <w:ind w:firstLine="480"/>
      </w:pPr>
      <w:r>
        <w:rPr>
          <w:rFonts w:ascii="宋体" w:hAnsi="宋体" w:eastAsia="宋体"/>
          <w:sz w:val="22"/>
        </w:rPr>
        <w:t>式中，Q 为系统总负荷；Qp 为人员负荷；Qf 为新风负荷；Qe 为围护结构负荷；Qm 为设备散热负荷。</w:t>
      </w:r>
    </w:p>
    <w:p>
      <w:pPr>
        <w:spacing w:line="360" w:lineRule="auto" w:after="80"/>
        <w:ind w:firstLine="480"/>
      </w:pPr>
      <w:r>
        <w:rPr>
          <w:rFonts w:ascii="宋体" w:hAnsi="宋体" w:eastAsia="宋体"/>
          <w:sz w:val="22"/>
        </w:rPr>
        <w:t>通过负荷分项分解，可以明确不同负荷来源对系统总负荷的贡献比例，为后续特征筛选、预测建模和容量配置优化提供基础。</w:t>
      </w:r>
    </w:p>
    <w:p>
      <w:pPr>
        <w:pStyle w:val="Heading2"/>
      </w:pPr>
      <w:r>
        <w:t>2.3 负荷影响因素分析</w:t>
      </w:r>
    </w:p>
    <w:p>
      <w:pPr>
        <w:spacing w:line="360" w:lineRule="auto" w:after="80"/>
        <w:ind w:firstLine="480"/>
      </w:pPr>
      <w:r>
        <w:rPr>
          <w:rFonts w:ascii="宋体" w:hAnsi="宋体" w:eastAsia="宋体"/>
          <w:sz w:val="22"/>
        </w:rPr>
        <w:t>地铁车站通风空调系统负荷受客流、气象、站内环境、设备运行和时间规律等因素共同影响。准确识别主要影响因素，是建立负荷预测模型和优化容量配置的前提。</w:t>
      </w:r>
    </w:p>
    <w:p>
      <w:pPr>
        <w:spacing w:line="360" w:lineRule="auto" w:after="80"/>
        <w:ind w:firstLine="480"/>
      </w:pPr>
      <w:r>
        <w:rPr>
          <w:rFonts w:ascii="宋体" w:hAnsi="宋体" w:eastAsia="宋体"/>
          <w:sz w:val="22"/>
        </w:rPr>
        <w:t>客流因素是站台区域负荷变化的重要驱动因素。进站客流、出站客流和站台滞留人数直接影响人员负荷，同时也会影响新风需求和站内二氧化碳浓度。由于乘客从进入车站到到达站台存在一定时间过程，客流变化对站台负荷的影响可能具有滞后性。</w:t>
      </w:r>
    </w:p>
    <w:p>
      <w:pPr>
        <w:spacing w:line="360" w:lineRule="auto" w:after="80"/>
        <w:ind w:firstLine="480"/>
      </w:pPr>
      <w:r>
        <w:rPr>
          <w:rFonts w:ascii="宋体" w:hAnsi="宋体" w:eastAsia="宋体"/>
          <w:sz w:val="22"/>
        </w:rPr>
        <w:t>气象因素主要包括室外温度、室外湿度、太阳辐射等。虽然站台区域处于地下空间，但室外气象条件仍会通过新风处理、出入口空气渗透以及围护结构传热等方式影响系统负荷。在夏季工况下，室外温度和湿度升高会增加新风冷却除湿负担。</w:t>
      </w:r>
    </w:p>
    <w:p>
      <w:pPr>
        <w:spacing w:line="360" w:lineRule="auto" w:after="80"/>
        <w:ind w:firstLine="480"/>
      </w:pPr>
      <w:r>
        <w:rPr>
          <w:rFonts w:ascii="宋体" w:hAnsi="宋体" w:eastAsia="宋体"/>
          <w:sz w:val="22"/>
        </w:rPr>
        <w:t>站内环境因素包括站台温度、站台湿度、二氧化碳浓度等。这些变量既反映当前热湿环境状态，也间接体现客流密度和系统调节效果。站内环境参数可作为负荷预测模型的重要输入。</w:t>
      </w:r>
    </w:p>
    <w:p>
      <w:pPr>
        <w:spacing w:line="360" w:lineRule="auto" w:after="80"/>
        <w:ind w:firstLine="480"/>
      </w:pPr>
      <w:r>
        <w:rPr>
          <w:rFonts w:ascii="宋体" w:hAnsi="宋体" w:eastAsia="宋体"/>
          <w:sz w:val="22"/>
        </w:rPr>
        <w:t>时间因素包括小时、星期、工作日与节假日等。地铁车站客流和负荷变化具有明显周期性，早晚高峰、午间平峰、周末和节假日往往呈现不同负荷模式。引入时间特征有助于提高模型对规律性波动的表达能力。</w:t>
      </w:r>
    </w:p>
    <w:p>
      <w:pPr>
        <w:spacing w:line="360" w:lineRule="auto" w:after="80"/>
        <w:ind w:firstLine="480"/>
      </w:pPr>
      <w:r>
        <w:rPr>
          <w:rFonts w:ascii="宋体" w:hAnsi="宋体" w:eastAsia="宋体"/>
          <w:sz w:val="22"/>
        </w:rPr>
        <w:t>历史负荷因素体现系统负荷的时间连续性。由于建筑热惰性、设备运行惯性和控制调节滞后，当前负荷通常与前一时段或前若干时段负荷密切相关。因此，在预测模型中引入滞后负荷特征，可以增强模型对短时负荷变化的捕捉能力。</w:t>
      </w:r>
    </w:p>
    <w:p>
      <w:pPr>
        <w:spacing w:line="360" w:lineRule="auto" w:after="80"/>
        <w:ind w:firstLine="480"/>
      </w:pPr>
      <w:r>
        <w:rPr>
          <w:rFonts w:ascii="宋体" w:hAnsi="宋体" w:eastAsia="宋体"/>
          <w:sz w:val="22"/>
        </w:rPr>
        <w:t>本文采用 Pearson 相关系数法对候选特征与系统总负荷之间的线性相关程度进行分析。Pearson 相关系数计算公式为：</w:t>
      </w:r>
    </w:p>
    <w:p>
      <w:pPr>
        <w:spacing w:line="360" w:lineRule="auto" w:after="80"/>
        <w:ind w:firstLine="480"/>
      </w:pPr>
      <w:r>
        <w:rPr>
          <w:rFonts w:ascii="宋体" w:hAnsi="宋体" w:eastAsia="宋体"/>
          <w:sz w:val="22"/>
        </w:rPr>
        <w:t>r = cov(X,Y) / (sigma_X sigma_Y)</w:t>
      </w:r>
    </w:p>
    <w:p>
      <w:pPr>
        <w:spacing w:line="360" w:lineRule="auto" w:after="80"/>
        <w:ind w:firstLine="480"/>
      </w:pPr>
      <w:r>
        <w:rPr>
          <w:rFonts w:ascii="宋体" w:hAnsi="宋体" w:eastAsia="宋体"/>
          <w:sz w:val="22"/>
        </w:rPr>
        <w:t>式中，r 为相关系数；X 为候选影响因素；Y 为系统总负荷；cov(X,Y) 为 X 与 Y 的协方差；sigma_X 和 sigma_Y 分别为 X 和 Y 的标准差。r 的取值范围为 [-1,1]，其绝对值越大，说明变量之间线性相关性越强。</w:t>
      </w:r>
    </w:p>
    <w:p>
      <w:pPr>
        <w:spacing w:line="360" w:lineRule="auto" w:after="80"/>
        <w:ind w:firstLine="480"/>
      </w:pPr>
      <w:r>
        <w:rPr>
          <w:rFonts w:ascii="宋体" w:hAnsi="宋体" w:eastAsia="宋体"/>
          <w:sz w:val="22"/>
        </w:rPr>
        <w:t>通过相关性排序，可以筛选出与系统负荷关系较强的关键影响因素，并用于后续预测输入矩阵构建。</w:t>
      </w:r>
    </w:p>
    <w:p>
      <w:pPr>
        <w:pStyle w:val="Heading2"/>
      </w:pPr>
      <w:r>
        <w:t>2.4 典型负荷模式识别理论</w:t>
      </w:r>
    </w:p>
    <w:p>
      <w:pPr>
        <w:spacing w:line="360" w:lineRule="auto" w:after="80"/>
        <w:ind w:firstLine="480"/>
      </w:pPr>
      <w:r>
        <w:rPr>
          <w:rFonts w:ascii="宋体" w:hAnsi="宋体" w:eastAsia="宋体"/>
          <w:sz w:val="22"/>
        </w:rPr>
        <w:t>地铁车站空调负荷不仅具有连续时序变化特征，也具有典型日负荷模式。不同日期可能对应不同客流结构和运行工况，例如工作日双峰高负荷型、工作日平稳中负荷型、周末单峰型和低客流低负荷型等。识别典型负荷模式，有助于理解系统运行规律，也可为负荷预测和容量配置提供辅助信息。</w:t>
      </w:r>
    </w:p>
    <w:p>
      <w:pPr>
        <w:spacing w:line="360" w:lineRule="auto" w:after="80"/>
        <w:ind w:firstLine="480"/>
      </w:pPr>
      <w:r>
        <w:rPr>
          <w:rFonts w:ascii="宋体" w:hAnsi="宋体" w:eastAsia="宋体"/>
          <w:sz w:val="22"/>
        </w:rPr>
        <w:t>K-Means 聚类是一种常用的无监督学习方法，其基本思想是将样本划分为 K 个簇，使同一簇内样本相似度较高，不同簇之间差异较大。对于日负荷曲线聚类，可将每天的负荷序列作为一个样本，通过归一化处理消除负荷量级差异，重点比较曲线形态。</w:t>
      </w:r>
    </w:p>
    <w:p>
      <w:pPr>
        <w:spacing w:line="360" w:lineRule="auto" w:after="80"/>
        <w:ind w:firstLine="480"/>
      </w:pPr>
      <w:r>
        <w:rPr>
          <w:rFonts w:ascii="宋体" w:hAnsi="宋体" w:eastAsia="宋体"/>
          <w:sz w:val="22"/>
        </w:rPr>
        <w:t>K-Means 聚类的目标函数为：</w:t>
      </w:r>
    </w:p>
    <w:p>
      <w:pPr>
        <w:spacing w:line="360" w:lineRule="auto" w:after="80"/>
        <w:ind w:firstLine="480"/>
      </w:pPr>
      <w:r>
        <w:rPr>
          <w:rFonts w:ascii="宋体" w:hAnsi="宋体" w:eastAsia="宋体"/>
          <w:sz w:val="22"/>
        </w:rPr>
        <w:t>J = sum sum ||xi - mu_k||^2</w:t>
      </w:r>
    </w:p>
    <w:p>
      <w:pPr>
        <w:spacing w:line="360" w:lineRule="auto" w:after="80"/>
        <w:ind w:firstLine="480"/>
      </w:pPr>
      <w:r>
        <w:rPr>
          <w:rFonts w:ascii="宋体" w:hAnsi="宋体" w:eastAsia="宋体"/>
          <w:sz w:val="22"/>
        </w:rPr>
        <w:t>式中，xi 为样本点，mu_k 为第 k 个簇的中心，J 为簇内平方误差和。目标是通过迭代更新样本归属和簇中心，使 J 最小。</w:t>
      </w:r>
    </w:p>
    <w:p>
      <w:pPr>
        <w:spacing w:line="360" w:lineRule="auto" w:after="80"/>
        <w:ind w:firstLine="480"/>
      </w:pPr>
      <w:r>
        <w:rPr>
          <w:rFonts w:ascii="宋体" w:hAnsi="宋体" w:eastAsia="宋体"/>
          <w:sz w:val="22"/>
        </w:rPr>
        <w:t>聚类数 K 的选择会直接影响聚类结果。若 K 过小，可能无法区分不同负荷模式；若 K 过大，则可能导致模式划分过细，降低工程解释性。本文在 K=2 至 K=6 范围内进行搜索，并结合轮廓系数和工程可解释性确定最终聚类数。</w:t>
      </w:r>
    </w:p>
    <w:p>
      <w:pPr>
        <w:spacing w:line="360" w:lineRule="auto" w:after="80"/>
        <w:ind w:firstLine="480"/>
      </w:pPr>
      <w:r>
        <w:rPr>
          <w:rFonts w:ascii="宋体" w:hAnsi="宋体" w:eastAsia="宋体"/>
          <w:sz w:val="22"/>
        </w:rPr>
        <w:t>轮廓系数用于评价聚类结果的紧密性和分离度，其取值范围为 [-1,1]。轮廓系数越大，说明样本与本簇内其他样本越相似，与其他簇样本差异越明显。在工程应用中，聚类结果不仅需要统计指标较好，也需要能够对应实际运行场景。因此，本文综合考虑轮廓系数和典型负荷模式解释性，确定最终聚类结果。</w:t>
      </w:r>
    </w:p>
    <w:p>
      <w:pPr>
        <w:pStyle w:val="Heading2"/>
      </w:pPr>
      <w:r>
        <w:t>2.5 容量配置优化问题描述</w:t>
      </w:r>
    </w:p>
    <w:p>
      <w:pPr>
        <w:spacing w:line="360" w:lineRule="auto" w:after="80"/>
        <w:ind w:firstLine="480"/>
      </w:pPr>
      <w:r>
        <w:rPr>
          <w:rFonts w:ascii="宋体" w:hAnsi="宋体" w:eastAsia="宋体"/>
          <w:sz w:val="22"/>
        </w:rPr>
        <w:t>表2-2 容量配置优化对象</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vAlign w:val="center"/>
            <w:shd w:fill="D9EAF7"/>
          </w:tcPr>
          <w:p>
            <w:pPr>
              <w:jc w:val="center"/>
            </w:pPr>
            <w:r/>
            <w:r>
              <w:rPr>
                <w:rFonts w:ascii="宋体" w:hAnsi="宋体" w:eastAsia="宋体"/>
                <w:b/>
                <w:sz w:val="18"/>
              </w:rPr>
              <w:t>子系统</w:t>
            </w:r>
          </w:p>
        </w:tc>
        <w:tc>
          <w:tcPr>
            <w:tcW w:type="dxa" w:w="2309"/>
            <w:vAlign w:val="center"/>
            <w:shd w:fill="D9EAF7"/>
          </w:tcPr>
          <w:p>
            <w:pPr>
              <w:jc w:val="center"/>
            </w:pPr>
            <w:r/>
            <w:r>
              <w:rPr>
                <w:rFonts w:ascii="宋体" w:hAnsi="宋体" w:eastAsia="宋体"/>
                <w:b/>
                <w:sz w:val="18"/>
              </w:rPr>
              <w:t>优化对象</w:t>
            </w:r>
          </w:p>
        </w:tc>
        <w:tc>
          <w:tcPr>
            <w:tcW w:type="dxa" w:w="2309"/>
            <w:vAlign w:val="center"/>
            <w:shd w:fill="D9EAF7"/>
          </w:tcPr>
          <w:p>
            <w:pPr>
              <w:jc w:val="center"/>
            </w:pPr>
            <w:r/>
            <w:r>
              <w:rPr>
                <w:rFonts w:ascii="宋体" w:hAnsi="宋体" w:eastAsia="宋体"/>
                <w:b/>
                <w:sz w:val="18"/>
              </w:rPr>
              <w:t>决策内容</w:t>
            </w:r>
          </w:p>
        </w:tc>
        <w:tc>
          <w:tcPr>
            <w:tcW w:type="dxa" w:w="2309"/>
            <w:vAlign w:val="center"/>
            <w:shd w:fill="D9EAF7"/>
          </w:tcPr>
          <w:p>
            <w:pPr>
              <w:jc w:val="center"/>
            </w:pPr>
            <w:r/>
            <w:r>
              <w:rPr>
                <w:rFonts w:ascii="宋体" w:hAnsi="宋体" w:eastAsia="宋体"/>
                <w:b/>
                <w:sz w:val="18"/>
              </w:rPr>
              <w:t>主要约束</w:t>
            </w:r>
          </w:p>
        </w:tc>
      </w:tr>
      <w:tr>
        <w:tc>
          <w:tcPr>
            <w:tcW w:type="dxa" w:w="2309"/>
            <w:vAlign w:val="center"/>
          </w:tcPr>
          <w:p>
            <w:pPr>
              <w:jc w:val="center"/>
            </w:pPr>
            <w:r/>
            <w:r>
              <w:rPr>
                <w:rFonts w:ascii="宋体" w:hAnsi="宋体" w:eastAsia="宋体"/>
                <w:b w:val="0"/>
                <w:sz w:val="18"/>
              </w:rPr>
              <w:t>冷源系统</w:t>
            </w:r>
          </w:p>
        </w:tc>
        <w:tc>
          <w:tcPr>
            <w:tcW w:type="dxa" w:w="2309"/>
            <w:vAlign w:val="center"/>
          </w:tcPr>
          <w:p>
            <w:pPr>
              <w:jc w:val="center"/>
            </w:pPr>
            <w:r/>
            <w:r>
              <w:rPr>
                <w:rFonts w:ascii="宋体" w:hAnsi="宋体" w:eastAsia="宋体"/>
                <w:b w:val="0"/>
                <w:sz w:val="18"/>
              </w:rPr>
              <w:t>冷水机组</w:t>
            </w:r>
          </w:p>
        </w:tc>
        <w:tc>
          <w:tcPr>
            <w:tcW w:type="dxa" w:w="2309"/>
            <w:vAlign w:val="center"/>
          </w:tcPr>
          <w:p>
            <w:pPr>
              <w:jc w:val="center"/>
            </w:pPr>
            <w:r/>
            <w:r>
              <w:rPr>
                <w:rFonts w:ascii="宋体" w:hAnsi="宋体" w:eastAsia="宋体"/>
                <w:b w:val="0"/>
                <w:sz w:val="18"/>
              </w:rPr>
              <w:t>单机容量、台数、总装机容量</w:t>
            </w:r>
          </w:p>
        </w:tc>
        <w:tc>
          <w:tcPr>
            <w:tcW w:type="dxa" w:w="2309"/>
            <w:vAlign w:val="center"/>
          </w:tcPr>
          <w:p>
            <w:pPr>
              <w:jc w:val="center"/>
            </w:pPr>
            <w:r/>
            <w:r>
              <w:rPr>
                <w:rFonts w:ascii="宋体" w:hAnsi="宋体" w:eastAsia="宋体"/>
                <w:b w:val="0"/>
                <w:sz w:val="18"/>
              </w:rPr>
              <w:t>满足设计冷负荷和安全裕度</w:t>
            </w:r>
          </w:p>
        </w:tc>
      </w:tr>
      <w:tr>
        <w:tc>
          <w:tcPr>
            <w:tcW w:type="dxa" w:w="2309"/>
            <w:vAlign w:val="center"/>
          </w:tcPr>
          <w:p>
            <w:pPr>
              <w:jc w:val="center"/>
            </w:pPr>
            <w:r/>
            <w:r>
              <w:rPr>
                <w:rFonts w:ascii="宋体" w:hAnsi="宋体" w:eastAsia="宋体"/>
                <w:b w:val="0"/>
                <w:sz w:val="18"/>
              </w:rPr>
              <w:t>风系统</w:t>
            </w:r>
          </w:p>
        </w:tc>
        <w:tc>
          <w:tcPr>
            <w:tcW w:type="dxa" w:w="2309"/>
            <w:vAlign w:val="center"/>
          </w:tcPr>
          <w:p>
            <w:pPr>
              <w:jc w:val="center"/>
            </w:pPr>
            <w:r/>
            <w:r>
              <w:rPr>
                <w:rFonts w:ascii="宋体" w:hAnsi="宋体" w:eastAsia="宋体"/>
                <w:b w:val="0"/>
                <w:sz w:val="18"/>
              </w:rPr>
              <w:t>送排风机</w:t>
            </w:r>
          </w:p>
        </w:tc>
        <w:tc>
          <w:tcPr>
            <w:tcW w:type="dxa" w:w="2309"/>
            <w:vAlign w:val="center"/>
          </w:tcPr>
          <w:p>
            <w:pPr>
              <w:jc w:val="center"/>
            </w:pPr>
            <w:r/>
            <w:r>
              <w:rPr>
                <w:rFonts w:ascii="宋体" w:hAnsi="宋体" w:eastAsia="宋体"/>
                <w:b w:val="0"/>
                <w:sz w:val="18"/>
              </w:rPr>
              <w:t>单机容量、台数、总风量或功率</w:t>
            </w:r>
          </w:p>
        </w:tc>
        <w:tc>
          <w:tcPr>
            <w:tcW w:type="dxa" w:w="2309"/>
            <w:vAlign w:val="center"/>
          </w:tcPr>
          <w:p>
            <w:pPr>
              <w:jc w:val="center"/>
            </w:pPr>
            <w:r/>
            <w:r>
              <w:rPr>
                <w:rFonts w:ascii="宋体" w:hAnsi="宋体" w:eastAsia="宋体"/>
                <w:b w:val="0"/>
                <w:sz w:val="18"/>
              </w:rPr>
              <w:t>满足站台送排风需求</w:t>
            </w:r>
          </w:p>
        </w:tc>
      </w:tr>
      <w:tr>
        <w:tc>
          <w:tcPr>
            <w:tcW w:type="dxa" w:w="2309"/>
            <w:vAlign w:val="center"/>
          </w:tcPr>
          <w:p>
            <w:pPr>
              <w:jc w:val="center"/>
            </w:pPr>
            <w:r/>
            <w:r>
              <w:rPr>
                <w:rFonts w:ascii="宋体" w:hAnsi="宋体" w:eastAsia="宋体"/>
                <w:b w:val="0"/>
                <w:sz w:val="18"/>
              </w:rPr>
              <w:t>水系统</w:t>
            </w:r>
          </w:p>
        </w:tc>
        <w:tc>
          <w:tcPr>
            <w:tcW w:type="dxa" w:w="2309"/>
            <w:vAlign w:val="center"/>
          </w:tcPr>
          <w:p>
            <w:pPr>
              <w:jc w:val="center"/>
            </w:pPr>
            <w:r/>
            <w:r>
              <w:rPr>
                <w:rFonts w:ascii="宋体" w:hAnsi="宋体" w:eastAsia="宋体"/>
                <w:b w:val="0"/>
                <w:sz w:val="18"/>
              </w:rPr>
              <w:t>冷冻水泵、冷却水泵</w:t>
            </w:r>
          </w:p>
        </w:tc>
        <w:tc>
          <w:tcPr>
            <w:tcW w:type="dxa" w:w="2309"/>
            <w:vAlign w:val="center"/>
          </w:tcPr>
          <w:p>
            <w:pPr>
              <w:jc w:val="center"/>
            </w:pPr>
            <w:r/>
            <w:r>
              <w:rPr>
                <w:rFonts w:ascii="宋体" w:hAnsi="宋体" w:eastAsia="宋体"/>
                <w:b w:val="0"/>
                <w:sz w:val="18"/>
              </w:rPr>
              <w:t>单机容量、台数、总输配能力</w:t>
            </w:r>
          </w:p>
        </w:tc>
        <w:tc>
          <w:tcPr>
            <w:tcW w:type="dxa" w:w="2309"/>
            <w:vAlign w:val="center"/>
          </w:tcPr>
          <w:p>
            <w:pPr>
              <w:jc w:val="center"/>
            </w:pPr>
            <w:r/>
            <w:r>
              <w:rPr>
                <w:rFonts w:ascii="宋体" w:hAnsi="宋体" w:eastAsia="宋体"/>
                <w:b w:val="0"/>
                <w:sz w:val="18"/>
              </w:rPr>
              <w:t>与冷源容量和管网阻力匹配</w:t>
            </w:r>
          </w:p>
        </w:tc>
      </w:tr>
      <w:tr>
        <w:tc>
          <w:tcPr>
            <w:tcW w:type="dxa" w:w="2309"/>
            <w:vAlign w:val="center"/>
          </w:tcPr>
          <w:p>
            <w:pPr>
              <w:jc w:val="center"/>
            </w:pPr>
            <w:r/>
            <w:r>
              <w:rPr>
                <w:rFonts w:ascii="宋体" w:hAnsi="宋体" w:eastAsia="宋体"/>
                <w:b w:val="0"/>
                <w:sz w:val="18"/>
              </w:rPr>
              <w:t>空气处理系统</w:t>
            </w:r>
          </w:p>
        </w:tc>
        <w:tc>
          <w:tcPr>
            <w:tcW w:type="dxa" w:w="2309"/>
            <w:vAlign w:val="center"/>
          </w:tcPr>
          <w:p>
            <w:pPr>
              <w:jc w:val="center"/>
            </w:pPr>
            <w:r/>
            <w:r>
              <w:rPr>
                <w:rFonts w:ascii="宋体" w:hAnsi="宋体" w:eastAsia="宋体"/>
                <w:b w:val="0"/>
                <w:sz w:val="18"/>
              </w:rPr>
              <w:t>空气处理机组</w:t>
            </w:r>
          </w:p>
        </w:tc>
        <w:tc>
          <w:tcPr>
            <w:tcW w:type="dxa" w:w="2309"/>
            <w:vAlign w:val="center"/>
          </w:tcPr>
          <w:p>
            <w:pPr>
              <w:jc w:val="center"/>
            </w:pPr>
            <w:r/>
            <w:r>
              <w:rPr>
                <w:rFonts w:ascii="宋体" w:hAnsi="宋体" w:eastAsia="宋体"/>
                <w:b w:val="0"/>
                <w:sz w:val="18"/>
              </w:rPr>
              <w:t>单台风量、台数、总处理能力</w:t>
            </w:r>
          </w:p>
        </w:tc>
        <w:tc>
          <w:tcPr>
            <w:tcW w:type="dxa" w:w="2309"/>
            <w:vAlign w:val="center"/>
          </w:tcPr>
          <w:p>
            <w:pPr>
              <w:jc w:val="center"/>
            </w:pPr>
            <w:r/>
            <w:r>
              <w:rPr>
                <w:rFonts w:ascii="宋体" w:hAnsi="宋体" w:eastAsia="宋体"/>
                <w:b w:val="0"/>
                <w:sz w:val="18"/>
              </w:rPr>
              <w:t>满足空气处理和新风需求</w:t>
            </w:r>
          </w:p>
        </w:tc>
      </w:tr>
    </w:tbl>
    <w:p/>
    <w:p>
      <w:pPr>
        <w:spacing w:line="360" w:lineRule="auto" w:after="80"/>
        <w:ind w:firstLine="480"/>
      </w:pPr>
      <w:r>
        <w:rPr>
          <w:rFonts w:ascii="宋体" w:hAnsi="宋体" w:eastAsia="宋体"/>
          <w:sz w:val="22"/>
        </w:rPr>
        <w:t>容量配置优化的难点在于各类设备之间存在耦合关系。例如，冷水机组容量降低后，水泵和空气处理机组的能力也应相应匹配；若仅减少冷源容量而不调整风机、水泵容量，系统仍可能存在辅助设备偏大的问题。因此，本文采用综合冗余率描述系统整体配置水平，而不是只评价冷水机组容量。</w:t>
      </w:r>
    </w:p>
    <w:p>
      <w:pPr>
        <w:spacing w:line="360" w:lineRule="auto" w:after="80"/>
        <w:ind w:firstLine="480"/>
      </w:pPr>
      <w:r>
        <w:rPr>
          <w:rFonts w:ascii="宋体" w:hAnsi="宋体" w:eastAsia="宋体"/>
          <w:sz w:val="22"/>
        </w:rPr>
        <w:t>地铁车站通风空调系统容量配置优化的目标是在满足站台区域负荷需求和系统安全运行要求的前提下，合理确定主要设备的容量和台数组合，使系统具有较低的容量冗余、较好的经济性和较强的调节灵活性。</w:t>
      </w:r>
    </w:p>
    <w:p>
      <w:pPr>
        <w:spacing w:line="360" w:lineRule="auto" w:after="80"/>
        <w:ind w:firstLine="480"/>
      </w:pPr>
      <w:r>
        <w:rPr>
          <w:rFonts w:ascii="宋体" w:hAnsi="宋体" w:eastAsia="宋体"/>
          <w:sz w:val="22"/>
        </w:rPr>
        <w:t>本文容量配置优化对象包括：</w:t>
      </w:r>
    </w:p>
    <w:p>
      <w:pPr>
        <w:spacing w:line="360" w:lineRule="auto"/>
        <w:ind w:left="360"/>
      </w:pPr>
      <w:r>
        <w:rPr>
          <w:rFonts w:ascii="宋体" w:hAnsi="宋体" w:eastAsia="宋体"/>
          <w:sz w:val="22"/>
        </w:rPr>
        <w:t>1. 冷水机组总装机容量、单机容量及台数；</w:t>
      </w:r>
    </w:p>
    <w:p>
      <w:pPr>
        <w:spacing w:line="360" w:lineRule="auto"/>
        <w:ind w:left="360"/>
      </w:pPr>
      <w:r>
        <w:rPr>
          <w:rFonts w:ascii="宋体" w:hAnsi="宋体" w:eastAsia="宋体"/>
          <w:sz w:val="22"/>
        </w:rPr>
        <w:t>2. 站台送风机台数及对应名义容量；</w:t>
      </w:r>
    </w:p>
    <w:p>
      <w:pPr>
        <w:spacing w:line="360" w:lineRule="auto"/>
        <w:ind w:left="360"/>
      </w:pPr>
      <w:r>
        <w:rPr>
          <w:rFonts w:ascii="宋体" w:hAnsi="宋体" w:eastAsia="宋体"/>
          <w:sz w:val="22"/>
        </w:rPr>
        <w:t>3. 站台排风机台数及对应名义容量；</w:t>
      </w:r>
    </w:p>
    <w:p>
      <w:pPr>
        <w:spacing w:line="360" w:lineRule="auto"/>
        <w:ind w:left="360"/>
      </w:pPr>
      <w:r>
        <w:rPr>
          <w:rFonts w:ascii="宋体" w:hAnsi="宋体" w:eastAsia="宋体"/>
          <w:sz w:val="22"/>
        </w:rPr>
        <w:t>4. 冷冻水泵台数及对应容量；</w:t>
      </w:r>
    </w:p>
    <w:p>
      <w:pPr>
        <w:spacing w:line="360" w:lineRule="auto"/>
        <w:ind w:left="360"/>
      </w:pPr>
      <w:r>
        <w:rPr>
          <w:rFonts w:ascii="宋体" w:hAnsi="宋体" w:eastAsia="宋体"/>
          <w:sz w:val="22"/>
        </w:rPr>
        <w:t>5. 冷却水泵台数及对应容量；</w:t>
      </w:r>
    </w:p>
    <w:p>
      <w:pPr>
        <w:spacing w:line="360" w:lineRule="auto"/>
        <w:ind w:left="360"/>
      </w:pPr>
      <w:r>
        <w:rPr>
          <w:rFonts w:ascii="宋体" w:hAnsi="宋体" w:eastAsia="宋体"/>
          <w:sz w:val="22"/>
        </w:rPr>
        <w:t>6. 站台空气处理机组台数及名义处理能力；</w:t>
      </w:r>
    </w:p>
    <w:p>
      <w:pPr>
        <w:spacing w:line="360" w:lineRule="auto"/>
        <w:ind w:left="360"/>
      </w:pPr>
      <w:r>
        <w:rPr>
          <w:rFonts w:ascii="宋体" w:hAnsi="宋体" w:eastAsia="宋体"/>
          <w:sz w:val="22"/>
        </w:rPr>
        <w:t>7. 各类设备之间的容量匹配关系。</w:t>
      </w:r>
    </w:p>
    <w:p>
      <w:pPr>
        <w:spacing w:line="360" w:lineRule="auto" w:after="80"/>
        <w:ind w:firstLine="480"/>
      </w:pPr>
      <w:r>
        <w:rPr>
          <w:rFonts w:ascii="宋体" w:hAnsi="宋体" w:eastAsia="宋体"/>
          <w:sz w:val="22"/>
        </w:rPr>
        <w:t>容量配置优化需要考虑以下约束条件。</w:t>
      </w:r>
    </w:p>
    <w:p>
      <w:pPr>
        <w:spacing w:line="360" w:lineRule="auto" w:after="80"/>
        <w:ind w:firstLine="480"/>
      </w:pPr>
      <w:r>
        <w:rPr>
          <w:rFonts w:ascii="宋体" w:hAnsi="宋体" w:eastAsia="宋体"/>
          <w:sz w:val="22"/>
        </w:rPr>
        <w:t>第一，负荷满足约束。优化方案的可用容量必须能够满足预测负荷需求，并保留必要安全裕度。</w:t>
      </w:r>
    </w:p>
    <w:p>
      <w:pPr>
        <w:spacing w:line="360" w:lineRule="auto" w:after="80"/>
        <w:ind w:firstLine="480"/>
      </w:pPr>
      <w:r>
        <w:rPr>
          <w:rFonts w:ascii="宋体" w:hAnsi="宋体" w:eastAsia="宋体"/>
          <w:sz w:val="22"/>
        </w:rPr>
        <w:t>第二，设备容量边界约束。各类设备容量应位于工程可选范围内，不能低于最小可选容量，也不能超过合理上限。</w:t>
      </w:r>
    </w:p>
    <w:p>
      <w:pPr>
        <w:spacing w:line="360" w:lineRule="auto" w:after="80"/>
        <w:ind w:firstLine="480"/>
      </w:pPr>
      <w:r>
        <w:rPr>
          <w:rFonts w:ascii="宋体" w:hAnsi="宋体" w:eastAsia="宋体"/>
          <w:sz w:val="22"/>
        </w:rPr>
        <w:t>第三，台数组合约束。设备台数应满足工程布置、检修备用和运行调节要求。例如，冷水机组台数过少会降低部分负荷调节灵活性，台数过多则会增加初投资和控制复杂度。</w:t>
      </w:r>
    </w:p>
    <w:p>
      <w:pPr>
        <w:spacing w:line="360" w:lineRule="auto" w:after="80"/>
        <w:ind w:firstLine="480"/>
      </w:pPr>
      <w:r>
        <w:rPr>
          <w:rFonts w:ascii="宋体" w:hAnsi="宋体" w:eastAsia="宋体"/>
          <w:sz w:val="22"/>
        </w:rPr>
        <w:t>第四，系统匹配约束。冷源容量、风系统容量、水系统容量和空气处理能力之间应保持匹配，避免出现某一环节容量过大或过小造成系统瓶颈。</w:t>
      </w:r>
    </w:p>
    <w:p>
      <w:pPr>
        <w:spacing w:line="360" w:lineRule="auto" w:after="80"/>
        <w:ind w:firstLine="480"/>
      </w:pPr>
      <w:r>
        <w:rPr>
          <w:rFonts w:ascii="宋体" w:hAnsi="宋体" w:eastAsia="宋体"/>
          <w:sz w:val="22"/>
        </w:rPr>
        <w:t>第五，运行安全约束。优化方案应保证站台区域温湿度控制、空气品质和设备运行可靠性满足工程要求。</w:t>
      </w:r>
    </w:p>
    <w:p>
      <w:pPr>
        <w:spacing w:line="360" w:lineRule="auto" w:after="80"/>
        <w:ind w:firstLine="480"/>
      </w:pPr>
      <w:r>
        <w:rPr>
          <w:rFonts w:ascii="宋体" w:hAnsi="宋体" w:eastAsia="宋体"/>
          <w:sz w:val="22"/>
        </w:rPr>
        <w:t>容量冗余率是评价设备容量配置合理性的重要指标，可表示为：</w:t>
      </w:r>
    </w:p>
    <w:p>
      <w:pPr>
        <w:spacing w:line="360" w:lineRule="auto" w:after="80"/>
        <w:ind w:firstLine="480"/>
      </w:pPr>
      <w:r>
        <w:rPr>
          <w:rFonts w:ascii="宋体" w:hAnsi="宋体" w:eastAsia="宋体"/>
          <w:sz w:val="22"/>
        </w:rPr>
        <w:t>R = (C - Qmax) / Qmax × 100%</w:t>
      </w:r>
    </w:p>
    <w:p>
      <w:pPr>
        <w:spacing w:line="360" w:lineRule="auto" w:after="80"/>
        <w:ind w:firstLine="480"/>
      </w:pPr>
      <w:r>
        <w:rPr>
          <w:rFonts w:ascii="宋体" w:hAnsi="宋体" w:eastAsia="宋体"/>
          <w:sz w:val="22"/>
        </w:rPr>
        <w:t>式中，R 为容量冗余率；C 为系统配置容量；Qmax 为预测最大负荷或设计校核负荷。容量冗余率过高说明设备容量偏大，可能导致投资和运行成本增加；容量冗余率过低则可能降低系统安全裕度。</w:t>
      </w:r>
    </w:p>
    <w:p>
      <w:pPr>
        <w:spacing w:line="360" w:lineRule="auto" w:after="80"/>
        <w:ind w:firstLine="480"/>
      </w:pPr>
      <w:r>
        <w:rPr>
          <w:rFonts w:ascii="宋体" w:hAnsi="宋体" w:eastAsia="宋体"/>
          <w:sz w:val="22"/>
        </w:rPr>
        <w:t>全生命周期成本通常包括初投资、运行能耗费用、维护费用和折现成本等。本文将全生命周期成本作为经济性目标，将容量冗余率作为配置合理性目标，构建多目标优化模型。</w:t>
      </w:r>
    </w:p>
    <w:p>
      <w:pPr>
        <w:pStyle w:val="Heading2"/>
      </w:pPr>
      <w:r>
        <w:t>2.6 多目标优化与综合评价方法</w:t>
      </w:r>
    </w:p>
    <w:p>
      <w:pPr>
        <w:spacing w:line="360" w:lineRule="auto" w:after="80"/>
        <w:ind w:firstLine="480"/>
      </w:pPr>
      <w:r>
        <w:rPr>
          <w:rFonts w:ascii="宋体" w:hAnsi="宋体" w:eastAsia="宋体"/>
          <w:sz w:val="22"/>
        </w:rPr>
        <w:t>地铁车站通风空调系统容量配置优化同时涉及经济性、节能性和安全性，不同目标之间可能存在冲突。例如，降低容量冗余可以减少设备投资，但若容量过低，可能影响高峰工况下的安全裕度；增加设备台数可以提高调节灵活性，但也可能增加初投资和维护成本。因此，本文采用多目标优化方法求解容量配置问题。</w:t>
      </w:r>
    </w:p>
    <w:p>
      <w:pPr>
        <w:spacing w:line="360" w:lineRule="auto" w:after="80"/>
        <w:ind w:firstLine="480"/>
      </w:pPr>
      <w:r>
        <w:rPr>
          <w:rFonts w:ascii="宋体" w:hAnsi="宋体" w:eastAsia="宋体"/>
          <w:sz w:val="22"/>
        </w:rPr>
        <w:t>NSGA-II 是一种基于非支配排序和拥挤距离机制的多目标遗传算法。其主要流程包括初始化种群、计算目标函数、非支配排序、拥挤距离计算、选择、交叉、变异和种群更新。该算法能够在一次优化过程中获得多个 Pareto 非劣解，从而反映不同优化目标之间的权衡关系。</w:t>
      </w:r>
    </w:p>
    <w:p>
      <w:pPr>
        <w:spacing w:line="360" w:lineRule="auto" w:after="80"/>
        <w:ind w:firstLine="480"/>
      </w:pPr>
      <w:r>
        <w:rPr>
          <w:rFonts w:ascii="宋体" w:hAnsi="宋体" w:eastAsia="宋体"/>
          <w:sz w:val="22"/>
        </w:rPr>
        <w:t>对于本文研究问题，NSGA-II 的两个主要优化目标为：</w:t>
      </w:r>
    </w:p>
    <w:p>
      <w:pPr>
        <w:spacing w:line="360" w:lineRule="auto" w:after="80"/>
        <w:ind w:firstLine="480"/>
      </w:pPr>
      <w:r>
        <w:rPr>
          <w:rFonts w:ascii="宋体" w:hAnsi="宋体" w:eastAsia="宋体"/>
          <w:sz w:val="22"/>
        </w:rPr>
        <w:t>f1 = min LCC</w:t>
      </w:r>
    </w:p>
    <w:p>
      <w:pPr>
        <w:spacing w:line="360" w:lineRule="auto" w:after="80"/>
        <w:ind w:firstLine="480"/>
      </w:pPr>
      <w:r>
        <w:rPr>
          <w:rFonts w:ascii="宋体" w:hAnsi="宋体" w:eastAsia="宋体"/>
          <w:sz w:val="22"/>
        </w:rPr>
        <w:t>f2 = min R</w:t>
      </w:r>
    </w:p>
    <w:p>
      <w:pPr>
        <w:spacing w:line="360" w:lineRule="auto" w:after="80"/>
        <w:ind w:firstLine="480"/>
      </w:pPr>
      <w:r>
        <w:rPr>
          <w:rFonts w:ascii="宋体" w:hAnsi="宋体" w:eastAsia="宋体"/>
          <w:sz w:val="22"/>
        </w:rPr>
        <w:t>式中，LCC 为全生命周期成本；R 为容量冗余率。</w:t>
      </w:r>
    </w:p>
    <w:p>
      <w:pPr>
        <w:spacing w:line="360" w:lineRule="auto" w:after="80"/>
        <w:ind w:firstLine="480"/>
      </w:pPr>
      <w:r>
        <w:rPr>
          <w:rFonts w:ascii="宋体" w:hAnsi="宋体" w:eastAsia="宋体"/>
          <w:sz w:val="22"/>
        </w:rPr>
        <w:t>通过 NSGA-II 算法可以得到一组 Pareto 解。Pareto 解集中任一方案都不存在另一个方案能够在所有目标上同时优于它，因此这些方案均具有一定合理性。为了从中选择最终推荐方案，本文进一步采用 TOPSIS 方法进行综合评价。</w:t>
      </w:r>
    </w:p>
    <w:p>
      <w:pPr>
        <w:spacing w:line="360" w:lineRule="auto" w:after="80"/>
        <w:ind w:firstLine="480"/>
      </w:pPr>
      <w:r>
        <w:rPr>
          <w:rFonts w:ascii="宋体" w:hAnsi="宋体" w:eastAsia="宋体"/>
          <w:sz w:val="22"/>
        </w:rPr>
        <w:t>TOPSIS 方法的基本思想是：最优方案应尽可能接近正理想解，同时尽可能远离负理想解。具体步骤包括指标标准化、确定正负理想解、计算各方案到正负理想解的距离、计算贴近度并排序。对于容量配置方案，评价指标可包括全生命周期成本、容量冗余率、年运行能耗、设备匹配性和调节灵活性等。</w:t>
      </w:r>
    </w:p>
    <w:p>
      <w:pPr>
        <w:spacing w:line="360" w:lineRule="auto" w:after="80"/>
        <w:ind w:firstLine="480"/>
      </w:pPr>
      <w:r>
        <w:rPr>
          <w:rFonts w:ascii="宋体" w:hAnsi="宋体" w:eastAsia="宋体"/>
          <w:sz w:val="22"/>
        </w:rPr>
        <w:t>通过“NSGA-II 多目标优化 + TOPSIS 综合排序”的方法，既可以保留多目标优化的方案选择空间，又可以形成明确的推荐配置方案，便于工程应用。</w:t>
      </w:r>
    </w:p>
    <w:p>
      <w:pPr>
        <w:pStyle w:val="Heading2"/>
      </w:pPr>
      <w:r>
        <w:t>2.7 本章小结</w:t>
      </w:r>
    </w:p>
    <w:p>
      <w:pPr>
        <w:spacing w:line="360" w:lineRule="auto" w:after="80"/>
        <w:ind w:firstLine="480"/>
      </w:pPr>
      <w:r>
        <w:rPr>
          <w:rFonts w:ascii="宋体" w:hAnsi="宋体" w:eastAsia="宋体"/>
          <w:sz w:val="22"/>
        </w:rPr>
        <w:t>本章介绍了地铁车站站台区域通风空调系统的主要组成，分析了冷源系统、送排风系统、水系统和空气处理机组在容量配置中的作用。随后，从人员负荷、新风负荷、围护结构负荷和设备散热负荷四个方面说明了站台区域空调负荷构成，并分析了客流、气象、站内环境、时间特征和历史负荷等因素对系统负荷的影响。在此基础上，阐述了典型负荷模式识别、容量配置优化、多目标优化和综合评价方法的理论基础，为后续章节开展数据分析、负荷预测和容量优化建模提供支撑。</w:t>
      </w:r>
    </w:p>
    <w:p>
      <w:pPr>
        <w:spacing w:line="360" w:lineRule="auto" w:after="80"/>
        <w:ind w:firstLine="480"/>
      </w:pPr>
      <w:r>
        <w:rPr>
          <w:rFonts w:ascii="宋体" w:hAnsi="宋体" w:eastAsia="宋体"/>
          <w:sz w:val="22"/>
        </w:rPr>
        <w:t>201013</w:t>
      </w:r>
    </w:p>
    <w:p>
      <w:pPr>
        <w:pStyle w:val="Heading1"/>
      </w:pPr>
      <w:r>
        <w:t>第3章 数据预处理与负荷特性分析</w:t>
      </w:r>
    </w:p>
    <w:p>
      <w:pPr>
        <w:pStyle w:val="Heading2"/>
      </w:pPr>
      <w:r>
        <w:t>3.1 数据来源与变量说明</w:t>
      </w:r>
    </w:p>
    <w:p>
      <w:pPr>
        <w:spacing w:line="360" w:lineRule="auto" w:after="80"/>
        <w:ind w:firstLine="480"/>
      </w:pPr>
      <w:r>
        <w:rPr>
          <w:rFonts w:ascii="宋体" w:hAnsi="宋体" w:eastAsia="宋体"/>
          <w:sz w:val="22"/>
        </w:rPr>
        <w:t>表3-1 数据变量说明表</w:t>
      </w:r>
    </w:p>
    <w:tbl>
      <w:tblPr>
        <w:tblStyle w:val="TableGrid"/>
        <w:tblW w:type="auto" w:w="0"/>
        <w:jc w:val="center"/>
        <w:tblLook w:firstColumn="1" w:firstRow="1" w:lastColumn="0" w:lastRow="0" w:noHBand="0" w:noVBand="1" w:val="04A0"/>
      </w:tblPr>
      <w:tblGrid>
        <w:gridCol w:w="1847"/>
        <w:gridCol w:w="1847"/>
        <w:gridCol w:w="1847"/>
        <w:gridCol w:w="1847"/>
        <w:gridCol w:w="1847"/>
      </w:tblGrid>
      <w:tr>
        <w:tc>
          <w:tcPr>
            <w:tcW w:type="dxa" w:w="1847"/>
            <w:vAlign w:val="center"/>
            <w:shd w:fill="D9EAF7"/>
          </w:tcPr>
          <w:p>
            <w:pPr>
              <w:jc w:val="center"/>
            </w:pPr>
            <w:r/>
            <w:r>
              <w:rPr>
                <w:rFonts w:ascii="宋体" w:hAnsi="宋体" w:eastAsia="宋体"/>
                <w:b/>
                <w:sz w:val="18"/>
              </w:rPr>
              <w:t>变量类别</w:t>
            </w:r>
          </w:p>
        </w:tc>
        <w:tc>
          <w:tcPr>
            <w:tcW w:type="dxa" w:w="1847"/>
            <w:vAlign w:val="center"/>
            <w:shd w:fill="D9EAF7"/>
          </w:tcPr>
          <w:p>
            <w:pPr>
              <w:jc w:val="center"/>
            </w:pPr>
            <w:r/>
            <w:r>
              <w:rPr>
                <w:rFonts w:ascii="宋体" w:hAnsi="宋体" w:eastAsia="宋体"/>
                <w:b/>
                <w:sz w:val="18"/>
              </w:rPr>
              <w:t>变量名称</w:t>
            </w:r>
          </w:p>
        </w:tc>
        <w:tc>
          <w:tcPr>
            <w:tcW w:type="dxa" w:w="1847"/>
            <w:vAlign w:val="center"/>
            <w:shd w:fill="D9EAF7"/>
          </w:tcPr>
          <w:p>
            <w:pPr>
              <w:jc w:val="center"/>
            </w:pPr>
            <w:r/>
            <w:r>
              <w:rPr>
                <w:rFonts w:ascii="宋体" w:hAnsi="宋体" w:eastAsia="宋体"/>
                <w:b/>
                <w:sz w:val="18"/>
              </w:rPr>
              <w:t>含义</w:t>
            </w:r>
          </w:p>
        </w:tc>
        <w:tc>
          <w:tcPr>
            <w:tcW w:type="dxa" w:w="1847"/>
            <w:vAlign w:val="center"/>
            <w:shd w:fill="D9EAF7"/>
          </w:tcPr>
          <w:p>
            <w:pPr>
              <w:jc w:val="center"/>
            </w:pPr>
            <w:r/>
            <w:r>
              <w:rPr>
                <w:rFonts w:ascii="宋体" w:hAnsi="宋体" w:eastAsia="宋体"/>
                <w:b/>
                <w:sz w:val="18"/>
              </w:rPr>
              <w:t>单位</w:t>
            </w:r>
          </w:p>
        </w:tc>
        <w:tc>
          <w:tcPr>
            <w:tcW w:type="dxa" w:w="1847"/>
            <w:vAlign w:val="center"/>
            <w:shd w:fill="D9EAF7"/>
          </w:tcPr>
          <w:p>
            <w:pPr>
              <w:jc w:val="center"/>
            </w:pPr>
            <w:r/>
            <w:r>
              <w:rPr>
                <w:rFonts w:ascii="宋体" w:hAnsi="宋体" w:eastAsia="宋体"/>
                <w:b/>
                <w:sz w:val="18"/>
              </w:rPr>
              <w:t>是否用于建模</w:t>
            </w:r>
          </w:p>
        </w:tc>
      </w:tr>
      <w:tr>
        <w:tc>
          <w:tcPr>
            <w:tcW w:type="dxa" w:w="1847"/>
            <w:vAlign w:val="center"/>
          </w:tcPr>
          <w:p>
            <w:pPr>
              <w:jc w:val="center"/>
            </w:pPr>
            <w:r/>
            <w:r>
              <w:rPr>
                <w:rFonts w:ascii="宋体" w:hAnsi="宋体" w:eastAsia="宋体"/>
                <w:b w:val="0"/>
                <w:sz w:val="18"/>
              </w:rPr>
              <w:t>客流特征</w:t>
            </w:r>
          </w:p>
        </w:tc>
        <w:tc>
          <w:tcPr>
            <w:tcW w:type="dxa" w:w="1847"/>
            <w:vAlign w:val="center"/>
          </w:tcPr>
          <w:p>
            <w:pPr>
              <w:jc w:val="center"/>
            </w:pPr>
            <w:r/>
            <w:r>
              <w:rPr>
                <w:rFonts w:ascii="宋体" w:hAnsi="宋体" w:eastAsia="宋体"/>
                <w:b w:val="0"/>
                <w:sz w:val="18"/>
              </w:rPr>
              <w:t>entry_flow</w:t>
            </w:r>
          </w:p>
        </w:tc>
        <w:tc>
          <w:tcPr>
            <w:tcW w:type="dxa" w:w="1847"/>
            <w:vAlign w:val="center"/>
          </w:tcPr>
          <w:p>
            <w:pPr>
              <w:jc w:val="center"/>
            </w:pPr>
            <w:r/>
            <w:r>
              <w:rPr>
                <w:rFonts w:ascii="宋体" w:hAnsi="宋体" w:eastAsia="宋体"/>
                <w:b w:val="0"/>
                <w:sz w:val="18"/>
              </w:rPr>
              <w:t>进站客流</w:t>
            </w:r>
          </w:p>
        </w:tc>
        <w:tc>
          <w:tcPr>
            <w:tcW w:type="dxa" w:w="1847"/>
            <w:vAlign w:val="center"/>
          </w:tcPr>
          <w:p>
            <w:pPr>
              <w:jc w:val="center"/>
            </w:pPr>
            <w:r/>
            <w:r>
              <w:rPr>
                <w:rFonts w:ascii="宋体" w:hAnsi="宋体" w:eastAsia="宋体"/>
                <w:b w:val="0"/>
                <w:sz w:val="18"/>
              </w:rPr>
              <w:t>人/15min</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客流特征</w:t>
            </w:r>
          </w:p>
        </w:tc>
        <w:tc>
          <w:tcPr>
            <w:tcW w:type="dxa" w:w="1847"/>
            <w:vAlign w:val="center"/>
          </w:tcPr>
          <w:p>
            <w:pPr>
              <w:jc w:val="center"/>
            </w:pPr>
            <w:r/>
            <w:r>
              <w:rPr>
                <w:rFonts w:ascii="宋体" w:hAnsi="宋体" w:eastAsia="宋体"/>
                <w:b w:val="0"/>
                <w:sz w:val="18"/>
              </w:rPr>
              <w:t>exit_flow</w:t>
            </w:r>
          </w:p>
        </w:tc>
        <w:tc>
          <w:tcPr>
            <w:tcW w:type="dxa" w:w="1847"/>
            <w:vAlign w:val="center"/>
          </w:tcPr>
          <w:p>
            <w:pPr>
              <w:jc w:val="center"/>
            </w:pPr>
            <w:r/>
            <w:r>
              <w:rPr>
                <w:rFonts w:ascii="宋体" w:hAnsi="宋体" w:eastAsia="宋体"/>
                <w:b w:val="0"/>
                <w:sz w:val="18"/>
              </w:rPr>
              <w:t>出站客流</w:t>
            </w:r>
          </w:p>
        </w:tc>
        <w:tc>
          <w:tcPr>
            <w:tcW w:type="dxa" w:w="1847"/>
            <w:vAlign w:val="center"/>
          </w:tcPr>
          <w:p>
            <w:pPr>
              <w:jc w:val="center"/>
            </w:pPr>
            <w:r/>
            <w:r>
              <w:rPr>
                <w:rFonts w:ascii="宋体" w:hAnsi="宋体" w:eastAsia="宋体"/>
                <w:b w:val="0"/>
                <w:sz w:val="18"/>
              </w:rPr>
              <w:t>人/15min</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客流特征</w:t>
            </w:r>
          </w:p>
        </w:tc>
        <w:tc>
          <w:tcPr>
            <w:tcW w:type="dxa" w:w="1847"/>
            <w:vAlign w:val="center"/>
          </w:tcPr>
          <w:p>
            <w:pPr>
              <w:jc w:val="left"/>
            </w:pPr>
            <w:r/>
            <w:r>
              <w:rPr>
                <w:rFonts w:ascii="宋体" w:hAnsi="宋体" w:eastAsia="宋体"/>
                <w:b w:val="0"/>
                <w:sz w:val="18"/>
              </w:rPr>
              <w:t>platform_passengers</w:t>
            </w:r>
          </w:p>
        </w:tc>
        <w:tc>
          <w:tcPr>
            <w:tcW w:type="dxa" w:w="1847"/>
            <w:vAlign w:val="center"/>
          </w:tcPr>
          <w:p>
            <w:pPr>
              <w:jc w:val="center"/>
            </w:pPr>
            <w:r/>
            <w:r>
              <w:rPr>
                <w:rFonts w:ascii="宋体" w:hAnsi="宋体" w:eastAsia="宋体"/>
                <w:b w:val="0"/>
                <w:sz w:val="18"/>
              </w:rPr>
              <w:t>站台人数</w:t>
            </w:r>
          </w:p>
        </w:tc>
        <w:tc>
          <w:tcPr>
            <w:tcW w:type="dxa" w:w="1847"/>
            <w:vAlign w:val="center"/>
          </w:tcPr>
          <w:p>
            <w:pPr>
              <w:jc w:val="center"/>
            </w:pPr>
            <w:r/>
            <w:r>
              <w:rPr>
                <w:rFonts w:ascii="宋体" w:hAnsi="宋体" w:eastAsia="宋体"/>
                <w:b w:val="0"/>
                <w:sz w:val="18"/>
              </w:rPr>
              <w:t>人</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气象特征</w:t>
            </w:r>
          </w:p>
        </w:tc>
        <w:tc>
          <w:tcPr>
            <w:tcW w:type="dxa" w:w="1847"/>
            <w:vAlign w:val="center"/>
          </w:tcPr>
          <w:p>
            <w:pPr>
              <w:jc w:val="center"/>
            </w:pPr>
            <w:r/>
            <w:r>
              <w:rPr>
                <w:rFonts w:ascii="宋体" w:hAnsi="宋体" w:eastAsia="宋体"/>
                <w:b w:val="0"/>
                <w:sz w:val="18"/>
              </w:rPr>
              <w:t>outdoor_temp</w:t>
            </w:r>
          </w:p>
        </w:tc>
        <w:tc>
          <w:tcPr>
            <w:tcW w:type="dxa" w:w="1847"/>
            <w:vAlign w:val="center"/>
          </w:tcPr>
          <w:p>
            <w:pPr>
              <w:jc w:val="center"/>
            </w:pPr>
            <w:r/>
            <w:r>
              <w:rPr>
                <w:rFonts w:ascii="宋体" w:hAnsi="宋体" w:eastAsia="宋体"/>
                <w:b w:val="0"/>
                <w:sz w:val="18"/>
              </w:rPr>
              <w:t>室外温度</w:t>
            </w:r>
          </w:p>
        </w:tc>
        <w:tc>
          <w:tcPr>
            <w:tcW w:type="dxa" w:w="1847"/>
            <w:vAlign w:val="center"/>
          </w:tcPr>
          <w:p>
            <w:pPr>
              <w:jc w:val="center"/>
            </w:pPr>
            <w:r/>
            <w:r>
              <w:rPr>
                <w:rFonts w:ascii="宋体" w:hAnsi="宋体" w:eastAsia="宋体"/>
                <w:b w:val="0"/>
                <w:sz w:val="18"/>
              </w:rPr>
              <w:t>℃</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气象特征</w:t>
            </w:r>
          </w:p>
        </w:tc>
        <w:tc>
          <w:tcPr>
            <w:tcW w:type="dxa" w:w="1847"/>
            <w:vAlign w:val="center"/>
          </w:tcPr>
          <w:p>
            <w:pPr>
              <w:jc w:val="center"/>
            </w:pPr>
            <w:r/>
            <w:r>
              <w:rPr>
                <w:rFonts w:ascii="宋体" w:hAnsi="宋体" w:eastAsia="宋体"/>
                <w:b w:val="0"/>
                <w:sz w:val="18"/>
              </w:rPr>
              <w:t>outdoor_rh</w:t>
            </w:r>
          </w:p>
        </w:tc>
        <w:tc>
          <w:tcPr>
            <w:tcW w:type="dxa" w:w="1847"/>
            <w:vAlign w:val="center"/>
          </w:tcPr>
          <w:p>
            <w:pPr>
              <w:jc w:val="center"/>
            </w:pPr>
            <w:r/>
            <w:r>
              <w:rPr>
                <w:rFonts w:ascii="宋体" w:hAnsi="宋体" w:eastAsia="宋体"/>
                <w:b w:val="0"/>
                <w:sz w:val="18"/>
              </w:rPr>
              <w:t>室外相对湿度</w:t>
            </w:r>
          </w:p>
        </w:tc>
        <w:tc>
          <w:tcPr>
            <w:tcW w:type="dxa" w:w="1847"/>
            <w:vAlign w:val="center"/>
          </w:tcPr>
          <w:p>
            <w:pPr>
              <w:jc w:val="center"/>
            </w:pPr>
            <w:r/>
            <w:r>
              <w:rPr>
                <w:rFonts w:ascii="宋体" w:hAnsi="宋体" w:eastAsia="宋体"/>
                <w:b w:val="0"/>
                <w:sz w:val="18"/>
              </w:rPr>
              <w:t>%</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气象特征</w:t>
            </w:r>
          </w:p>
        </w:tc>
        <w:tc>
          <w:tcPr>
            <w:tcW w:type="dxa" w:w="1847"/>
            <w:vAlign w:val="center"/>
          </w:tcPr>
          <w:p>
            <w:pPr>
              <w:jc w:val="center"/>
            </w:pPr>
            <w:r/>
            <w:r>
              <w:rPr>
                <w:rFonts w:ascii="宋体" w:hAnsi="宋体" w:eastAsia="宋体"/>
                <w:b w:val="0"/>
                <w:sz w:val="18"/>
              </w:rPr>
              <w:t>solar_radiation</w:t>
            </w:r>
          </w:p>
        </w:tc>
        <w:tc>
          <w:tcPr>
            <w:tcW w:type="dxa" w:w="1847"/>
            <w:vAlign w:val="center"/>
          </w:tcPr>
          <w:p>
            <w:pPr>
              <w:jc w:val="center"/>
            </w:pPr>
            <w:r/>
            <w:r>
              <w:rPr>
                <w:rFonts w:ascii="宋体" w:hAnsi="宋体" w:eastAsia="宋体"/>
                <w:b w:val="0"/>
                <w:sz w:val="18"/>
              </w:rPr>
              <w:t>太阳辐射</w:t>
            </w:r>
          </w:p>
        </w:tc>
        <w:tc>
          <w:tcPr>
            <w:tcW w:type="dxa" w:w="1847"/>
            <w:vAlign w:val="center"/>
          </w:tcPr>
          <w:p>
            <w:pPr>
              <w:jc w:val="center"/>
            </w:pPr>
            <w:r/>
            <w:r>
              <w:rPr>
                <w:rFonts w:ascii="宋体" w:hAnsi="宋体" w:eastAsia="宋体"/>
                <w:b w:val="0"/>
                <w:sz w:val="18"/>
              </w:rPr>
              <w:t>W/m²</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站内环境</w:t>
            </w:r>
          </w:p>
        </w:tc>
        <w:tc>
          <w:tcPr>
            <w:tcW w:type="dxa" w:w="1847"/>
            <w:vAlign w:val="center"/>
          </w:tcPr>
          <w:p>
            <w:pPr>
              <w:jc w:val="center"/>
            </w:pPr>
            <w:r/>
            <w:r>
              <w:rPr>
                <w:rFonts w:ascii="宋体" w:hAnsi="宋体" w:eastAsia="宋体"/>
                <w:b w:val="0"/>
                <w:sz w:val="18"/>
              </w:rPr>
              <w:t>platform_temp</w:t>
            </w:r>
          </w:p>
        </w:tc>
        <w:tc>
          <w:tcPr>
            <w:tcW w:type="dxa" w:w="1847"/>
            <w:vAlign w:val="center"/>
          </w:tcPr>
          <w:p>
            <w:pPr>
              <w:jc w:val="center"/>
            </w:pPr>
            <w:r/>
            <w:r>
              <w:rPr>
                <w:rFonts w:ascii="宋体" w:hAnsi="宋体" w:eastAsia="宋体"/>
                <w:b w:val="0"/>
                <w:sz w:val="18"/>
              </w:rPr>
              <w:t>站台温度</w:t>
            </w:r>
          </w:p>
        </w:tc>
        <w:tc>
          <w:tcPr>
            <w:tcW w:type="dxa" w:w="1847"/>
            <w:vAlign w:val="center"/>
          </w:tcPr>
          <w:p>
            <w:pPr>
              <w:jc w:val="center"/>
            </w:pPr>
            <w:r/>
            <w:r>
              <w:rPr>
                <w:rFonts w:ascii="宋体" w:hAnsi="宋体" w:eastAsia="宋体"/>
                <w:b w:val="0"/>
                <w:sz w:val="18"/>
              </w:rPr>
              <w:t>℃</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站内环境</w:t>
            </w:r>
          </w:p>
        </w:tc>
        <w:tc>
          <w:tcPr>
            <w:tcW w:type="dxa" w:w="1847"/>
            <w:vAlign w:val="center"/>
          </w:tcPr>
          <w:p>
            <w:pPr>
              <w:jc w:val="center"/>
            </w:pPr>
            <w:r/>
            <w:r>
              <w:rPr>
                <w:rFonts w:ascii="宋体" w:hAnsi="宋体" w:eastAsia="宋体"/>
                <w:b w:val="0"/>
                <w:sz w:val="18"/>
              </w:rPr>
              <w:t>platform_rh</w:t>
            </w:r>
          </w:p>
        </w:tc>
        <w:tc>
          <w:tcPr>
            <w:tcW w:type="dxa" w:w="1847"/>
            <w:vAlign w:val="center"/>
          </w:tcPr>
          <w:p>
            <w:pPr>
              <w:jc w:val="center"/>
            </w:pPr>
            <w:r/>
            <w:r>
              <w:rPr>
                <w:rFonts w:ascii="宋体" w:hAnsi="宋体" w:eastAsia="宋体"/>
                <w:b w:val="0"/>
                <w:sz w:val="18"/>
              </w:rPr>
              <w:t>站台相对湿度</w:t>
            </w:r>
          </w:p>
        </w:tc>
        <w:tc>
          <w:tcPr>
            <w:tcW w:type="dxa" w:w="1847"/>
            <w:vAlign w:val="center"/>
          </w:tcPr>
          <w:p>
            <w:pPr>
              <w:jc w:val="center"/>
            </w:pPr>
            <w:r/>
            <w:r>
              <w:rPr>
                <w:rFonts w:ascii="宋体" w:hAnsi="宋体" w:eastAsia="宋体"/>
                <w:b w:val="0"/>
                <w:sz w:val="18"/>
              </w:rPr>
              <w:t>%</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站内环境</w:t>
            </w:r>
          </w:p>
        </w:tc>
        <w:tc>
          <w:tcPr>
            <w:tcW w:type="dxa" w:w="1847"/>
            <w:vAlign w:val="center"/>
          </w:tcPr>
          <w:p>
            <w:pPr>
              <w:jc w:val="center"/>
            </w:pPr>
            <w:r/>
            <w:r>
              <w:rPr>
                <w:rFonts w:ascii="宋体" w:hAnsi="宋体" w:eastAsia="宋体"/>
                <w:b w:val="0"/>
                <w:sz w:val="18"/>
              </w:rPr>
              <w:t>co2</w:t>
            </w:r>
          </w:p>
        </w:tc>
        <w:tc>
          <w:tcPr>
            <w:tcW w:type="dxa" w:w="1847"/>
            <w:vAlign w:val="center"/>
          </w:tcPr>
          <w:p>
            <w:pPr>
              <w:jc w:val="center"/>
            </w:pPr>
            <w:r/>
            <w:r>
              <w:rPr>
                <w:rFonts w:ascii="宋体" w:hAnsi="宋体" w:eastAsia="宋体"/>
                <w:b w:val="0"/>
                <w:sz w:val="18"/>
              </w:rPr>
              <w:t>二氧化碳浓度</w:t>
            </w:r>
          </w:p>
        </w:tc>
        <w:tc>
          <w:tcPr>
            <w:tcW w:type="dxa" w:w="1847"/>
            <w:vAlign w:val="center"/>
          </w:tcPr>
          <w:p>
            <w:pPr>
              <w:jc w:val="center"/>
            </w:pPr>
            <w:r/>
            <w:r>
              <w:rPr>
                <w:rFonts w:ascii="宋体" w:hAnsi="宋体" w:eastAsia="宋体"/>
                <w:b w:val="0"/>
                <w:sz w:val="18"/>
              </w:rPr>
              <w:t>ppm</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负荷变量</w:t>
            </w:r>
          </w:p>
        </w:tc>
        <w:tc>
          <w:tcPr>
            <w:tcW w:type="dxa" w:w="1847"/>
            <w:vAlign w:val="center"/>
          </w:tcPr>
          <w:p>
            <w:pPr>
              <w:jc w:val="left"/>
            </w:pPr>
            <w:r/>
            <w:r>
              <w:rPr>
                <w:rFonts w:ascii="宋体" w:hAnsi="宋体" w:eastAsia="宋体"/>
                <w:b w:val="0"/>
                <w:sz w:val="18"/>
              </w:rPr>
              <w:t>total_cooling_load_kw</w:t>
            </w:r>
          </w:p>
        </w:tc>
        <w:tc>
          <w:tcPr>
            <w:tcW w:type="dxa" w:w="1847"/>
            <w:vAlign w:val="center"/>
          </w:tcPr>
          <w:p>
            <w:pPr>
              <w:jc w:val="center"/>
            </w:pPr>
            <w:r/>
            <w:r>
              <w:rPr>
                <w:rFonts w:ascii="宋体" w:hAnsi="宋体" w:eastAsia="宋体"/>
                <w:b w:val="0"/>
                <w:sz w:val="18"/>
              </w:rPr>
              <w:t>站台总冷负荷</w:t>
            </w:r>
          </w:p>
        </w:tc>
        <w:tc>
          <w:tcPr>
            <w:tcW w:type="dxa" w:w="1847"/>
            <w:vAlign w:val="center"/>
          </w:tcPr>
          <w:p>
            <w:pPr>
              <w:jc w:val="center"/>
            </w:pPr>
            <w:r/>
            <w:r>
              <w:rPr>
                <w:rFonts w:ascii="宋体" w:hAnsi="宋体" w:eastAsia="宋体"/>
                <w:b w:val="0"/>
                <w:sz w:val="18"/>
              </w:rPr>
              <w:t>kW</w:t>
            </w:r>
          </w:p>
        </w:tc>
        <w:tc>
          <w:tcPr>
            <w:tcW w:type="dxa" w:w="1847"/>
            <w:vAlign w:val="center"/>
          </w:tcPr>
          <w:p>
            <w:pPr>
              <w:jc w:val="center"/>
            </w:pPr>
            <w:r/>
            <w:r>
              <w:rPr>
                <w:rFonts w:ascii="宋体" w:hAnsi="宋体" w:eastAsia="宋体"/>
                <w:b w:val="0"/>
                <w:sz w:val="18"/>
              </w:rPr>
              <w:t>预测目标</w:t>
            </w:r>
          </w:p>
        </w:tc>
      </w:tr>
    </w:tbl>
    <w:p/>
    <w:p>
      <w:pPr>
        <w:spacing w:before="160" w:after="160"/>
        <w:jc w:val="center"/>
      </w:pPr>
      <w:r>
        <w:rPr>
          <w:rFonts w:ascii="宋体" w:hAnsi="宋体" w:eastAsia="宋体"/>
          <w:b/>
          <w:color w:val="505050"/>
          <w:sz w:val="21"/>
        </w:rPr>
        <w:t>【图3-1 数据预处理流程图：原始数据 → 时间排序 → 缺失值填补 → 时间特征构造 → 滞后特征构造 → Z-Score标准化 → 建模数据集】</w:t>
      </w:r>
    </w:p>
    <w:p>
      <w:pPr>
        <w:spacing w:line="360" w:lineRule="auto" w:after="80"/>
        <w:ind w:firstLine="480"/>
      </w:pPr>
      <w:r>
        <w:rPr>
          <w:rFonts w:ascii="宋体" w:hAnsi="宋体" w:eastAsia="宋体"/>
          <w:sz w:val="22"/>
        </w:rPr>
        <w:t>本文研究数据来源于福州地铁东街口站站台区域的运行监测数据，数据时间范围为 2025 年 7 月，时间粒度为 15 分钟。原始数据包含客流信息、室外气象参数、站内环境参数、系统运行参数以及站台区域总冷负荷及其分项负荷。通过对原始数据进行统一整理和筛选，最终形成适用于负荷分析与预测建模的数据集。</w:t>
      </w:r>
    </w:p>
    <w:p>
      <w:pPr>
        <w:spacing w:line="360" w:lineRule="auto" w:after="80"/>
        <w:ind w:firstLine="480"/>
      </w:pPr>
      <w:r>
        <w:rPr>
          <w:rFonts w:ascii="宋体" w:hAnsi="宋体" w:eastAsia="宋体"/>
          <w:sz w:val="22"/>
        </w:rPr>
        <w:t>从变量构成来看，数据主要包括以下几类。</w:t>
      </w:r>
    </w:p>
    <w:p>
      <w:pPr>
        <w:spacing w:line="360" w:lineRule="auto" w:after="80"/>
        <w:ind w:firstLine="480"/>
      </w:pPr>
      <w:r>
        <w:rPr>
          <w:rFonts w:ascii="宋体" w:hAnsi="宋体" w:eastAsia="宋体"/>
          <w:sz w:val="22"/>
        </w:rPr>
        <w:t>第一类是客流特征，包括进站客流、出站客流和站台在岗人数等变量。这类变量用于表征乘客活动强度，是人员负荷和新风负荷的重要驱动因素。</w:t>
      </w:r>
    </w:p>
    <w:p>
      <w:pPr>
        <w:spacing w:line="360" w:lineRule="auto" w:after="80"/>
        <w:ind w:firstLine="480"/>
      </w:pPr>
      <w:r>
        <w:rPr>
          <w:rFonts w:ascii="宋体" w:hAnsi="宋体" w:eastAsia="宋体"/>
          <w:sz w:val="22"/>
        </w:rPr>
        <w:t>第二类是室外气象特征，包括室外温度、室外相对湿度和太阳辐射等变量。此类变量用于描述外部环境条件对站台区域负荷的影响。</w:t>
      </w:r>
    </w:p>
    <w:p>
      <w:pPr>
        <w:spacing w:line="360" w:lineRule="auto" w:after="80"/>
        <w:ind w:firstLine="480"/>
      </w:pPr>
      <w:r>
        <w:rPr>
          <w:rFonts w:ascii="宋体" w:hAnsi="宋体" w:eastAsia="宋体"/>
          <w:sz w:val="22"/>
        </w:rPr>
        <w:t>第三类是站内环境特征，包括站台温度、站台相对湿度和二氧化碳浓度等变量。这类变量可以反映站内热湿环境和空气品质变化，也有助于刻画负荷状态。</w:t>
      </w:r>
    </w:p>
    <w:p>
      <w:pPr>
        <w:spacing w:line="360" w:lineRule="auto" w:after="80"/>
        <w:ind w:firstLine="480"/>
      </w:pPr>
      <w:r>
        <w:rPr>
          <w:rFonts w:ascii="宋体" w:hAnsi="宋体" w:eastAsia="宋体"/>
          <w:sz w:val="22"/>
        </w:rPr>
        <w:t>第四类是系统负荷特征，包括人员负荷、新风负荷、围护结构负荷、设备散热负荷、总冷负荷，以及冷水机组、风机和水泵等设备运行功率。本文以站台区域总冷负荷作为分析和预测的目标变量。</w:t>
      </w:r>
    </w:p>
    <w:p>
      <w:pPr>
        <w:spacing w:line="360" w:lineRule="auto" w:after="80"/>
        <w:ind w:firstLine="480"/>
      </w:pPr>
      <w:r>
        <w:rPr>
          <w:rFonts w:ascii="宋体" w:hAnsi="宋体" w:eastAsia="宋体"/>
          <w:sz w:val="22"/>
        </w:rPr>
        <w:t>第五类是时间特征，包括小时、星期、是否周末、时间段类别以及周期编码特征等。时间特征用于刻画地铁车站运行的周期性和规律性。</w:t>
      </w:r>
    </w:p>
    <w:p>
      <w:pPr>
        <w:spacing w:line="360" w:lineRule="auto" w:after="80"/>
        <w:ind w:firstLine="480"/>
      </w:pPr>
      <w:r>
        <w:rPr>
          <w:rFonts w:ascii="宋体" w:hAnsi="宋体" w:eastAsia="宋体"/>
          <w:sz w:val="22"/>
        </w:rPr>
        <w:t>经过预处理后，最终建模数据共包含 2976 条样本，覆盖 31 天连续运行数据，能够较好反映站台区域在日内和跨日尺度上的负荷变化规律。</w:t>
      </w:r>
    </w:p>
    <w:p>
      <w:pPr>
        <w:pStyle w:val="Heading2"/>
      </w:pPr>
      <w:r>
        <w:t>3.2 数据清洗与预处理</w:t>
      </w:r>
    </w:p>
    <w:p>
      <w:pPr>
        <w:jc w:val="center"/>
      </w:pPr>
      <w:r>
        <w:drawing>
          <wp:inline xmlns:a="http://schemas.openxmlformats.org/drawingml/2006/main" xmlns:pic="http://schemas.openxmlformats.org/drawingml/2006/picture">
            <wp:extent cx="4860000" cy="4121648"/>
            <wp:docPr id="1" name="Picture 1"/>
            <wp:cNvGraphicFramePr>
              <a:graphicFrameLocks noChangeAspect="1"/>
            </wp:cNvGraphicFramePr>
            <a:graphic>
              <a:graphicData uri="http://schemas.openxmlformats.org/drawingml/2006/picture">
                <pic:pic>
                  <pic:nvPicPr>
                    <pic:cNvPr id="0" name="step1_missing_value_summary.png"/>
                    <pic:cNvPicPr/>
                  </pic:nvPicPr>
                  <pic:blipFill>
                    <a:blip r:embed="rId9"/>
                    <a:stretch>
                      <a:fillRect/>
                    </a:stretch>
                  </pic:blipFill>
                  <pic:spPr>
                    <a:xfrm>
                      <a:off x="0" y="0"/>
                      <a:ext cx="4860000" cy="4121648"/>
                    </a:xfrm>
                    <a:prstGeom prst="rect"/>
                  </pic:spPr>
                </pic:pic>
              </a:graphicData>
            </a:graphic>
          </wp:inline>
        </w:drawing>
      </w:r>
    </w:p>
    <w:p>
      <w:pPr>
        <w:spacing w:before="160" w:after="160"/>
        <w:jc w:val="center"/>
      </w:pPr>
      <w:r>
        <w:rPr>
          <w:rFonts w:ascii="宋体" w:hAnsi="宋体" w:eastAsia="宋体"/>
          <w:b/>
          <w:color w:val="505050"/>
          <w:sz w:val="21"/>
        </w:rPr>
        <w:t>【图3-2 缺失值统计图】</w:t>
      </w:r>
    </w:p>
    <w:p>
      <w:pPr>
        <w:jc w:val="center"/>
      </w:pPr>
      <w:r>
        <w:drawing>
          <wp:inline xmlns:a="http://schemas.openxmlformats.org/drawingml/2006/main" xmlns:pic="http://schemas.openxmlformats.org/drawingml/2006/picture">
            <wp:extent cx="4860000" cy="4017169"/>
            <wp:docPr id="2" name="Picture 2"/>
            <wp:cNvGraphicFramePr>
              <a:graphicFrameLocks noChangeAspect="1"/>
            </wp:cNvGraphicFramePr>
            <a:graphic>
              <a:graphicData uri="http://schemas.openxmlformats.org/drawingml/2006/picture">
                <pic:pic>
                  <pic:nvPicPr>
                    <pic:cNvPr id="0" name="step1_cooling_load_timeseries.png"/>
                    <pic:cNvPicPr/>
                  </pic:nvPicPr>
                  <pic:blipFill>
                    <a:blip r:embed="rId10"/>
                    <a:stretch>
                      <a:fillRect/>
                    </a:stretch>
                  </pic:blipFill>
                  <pic:spPr>
                    <a:xfrm>
                      <a:off x="0" y="0"/>
                      <a:ext cx="4860000" cy="4017169"/>
                    </a:xfrm>
                    <a:prstGeom prst="rect"/>
                  </pic:spPr>
                </pic:pic>
              </a:graphicData>
            </a:graphic>
          </wp:inline>
        </w:drawing>
      </w:r>
    </w:p>
    <w:p>
      <w:pPr>
        <w:spacing w:before="160" w:after="160"/>
        <w:jc w:val="center"/>
      </w:pPr>
      <w:r>
        <w:rPr>
          <w:rFonts w:ascii="宋体" w:hAnsi="宋体" w:eastAsia="宋体"/>
          <w:b/>
          <w:color w:val="505050"/>
          <w:sz w:val="21"/>
        </w:rPr>
        <w:t>【图3-3 站台总冷负荷时间序列图】</w:t>
      </w:r>
    </w:p>
    <w:p>
      <w:pPr>
        <w:spacing w:line="360" w:lineRule="auto" w:after="80"/>
        <w:ind w:firstLine="480"/>
      </w:pPr>
      <w:r>
        <w:rPr>
          <w:rFonts w:ascii="宋体" w:hAnsi="宋体" w:eastAsia="宋体"/>
          <w:sz w:val="22"/>
        </w:rPr>
        <w:t>从负荷时间序列可以进一步观察日内峰谷变化。一般而言，站台区域总冷负荷在客流高峰和环境温度较高时段出现上升，在深夜和低客流时段下降。该变化规律说明负荷序列同时具有周期性、滞后性和随机波动性，因此后续预测模型需要同时引入时间特征、客流特征和历史负荷特征。</w:t>
      </w:r>
    </w:p>
    <w:p>
      <w:pPr>
        <w:spacing w:line="360" w:lineRule="auto" w:after="80"/>
        <w:ind w:firstLine="480"/>
      </w:pPr>
      <w:r>
        <w:rPr>
          <w:rFonts w:ascii="宋体" w:hAnsi="宋体" w:eastAsia="宋体"/>
          <w:sz w:val="22"/>
        </w:rPr>
        <w:t>原始运行数据在采集和汇总过程中不可避免地会出现缺失值、时间戳不对齐和少量异常值。为保证后续分析和建模的稳定性，本文对原始数据进行了系统性清洗与预处理。</w:t>
      </w:r>
    </w:p>
    <w:p>
      <w:pPr>
        <w:spacing w:line="360" w:lineRule="auto" w:after="80"/>
        <w:ind w:firstLine="480"/>
      </w:pPr>
      <w:r>
        <w:rPr>
          <w:rFonts w:ascii="宋体" w:hAnsi="宋体" w:eastAsia="宋体"/>
          <w:sz w:val="22"/>
        </w:rPr>
        <w:t>首先，对时间戳进行统一排序，并将所有记录对齐到 15 分钟间隔。这样做的目的是保证客流、气象、站内环境和负荷数据在同一时间尺度上进行分析，避免不同采样频率带来的特征错位。</w:t>
      </w:r>
    </w:p>
    <w:p>
      <w:pPr>
        <w:spacing w:line="360" w:lineRule="auto" w:after="80"/>
        <w:ind w:firstLine="480"/>
      </w:pPr>
      <w:r>
        <w:rPr>
          <w:rFonts w:ascii="宋体" w:hAnsi="宋体" w:eastAsia="宋体"/>
          <w:sz w:val="22"/>
        </w:rPr>
        <w:t>其次，对数值型变量进行缺失值填补。对于短时缺失，采用线性插值方法进行补齐；对于序列首尾或连续缺失位置，使用最近邻值进行补充。该方法能够在尽量保持原始趋势的前提下恢复时间序列完整性。</w:t>
      </w:r>
    </w:p>
    <w:p>
      <w:pPr>
        <w:spacing w:line="360" w:lineRule="auto" w:after="80"/>
        <w:ind w:firstLine="480"/>
      </w:pPr>
      <w:r>
        <w:rPr>
          <w:rFonts w:ascii="宋体" w:hAnsi="宋体" w:eastAsia="宋体"/>
          <w:sz w:val="22"/>
        </w:rPr>
        <w:t>再次，对连续变量进行标准化处理。本文对特征变量采用 Z-Score 标准化，即：</w:t>
      </w:r>
    </w:p>
    <w:p>
      <w:pPr>
        <w:spacing w:line="360" w:lineRule="auto" w:after="80"/>
        <w:ind w:firstLine="480"/>
      </w:pPr>
      <w:r>
        <w:rPr>
          <w:rFonts w:ascii="宋体" w:hAnsi="宋体" w:eastAsia="宋体"/>
          <w:sz w:val="22"/>
        </w:rPr>
        <w:t>z = (x - mu) / sigma</w:t>
      </w:r>
    </w:p>
    <w:p>
      <w:pPr>
        <w:spacing w:line="360" w:lineRule="auto" w:after="80"/>
        <w:ind w:firstLine="480"/>
      </w:pPr>
      <w:r>
        <w:rPr>
          <w:rFonts w:ascii="宋体" w:hAnsi="宋体" w:eastAsia="宋体"/>
          <w:sz w:val="22"/>
        </w:rPr>
        <w:t>式中，x 为原始值，mu 为样本均值，sigma 为样本标准差。标准化处理可以消除不同量纲之间的影响，使后续 Pearson 相关分析、聚类分析和神经网络训练更加稳定。</w:t>
      </w:r>
    </w:p>
    <w:p>
      <w:pPr>
        <w:spacing w:line="360" w:lineRule="auto" w:after="80"/>
        <w:ind w:firstLine="480"/>
      </w:pPr>
      <w:r>
        <w:rPr>
          <w:rFonts w:ascii="宋体" w:hAnsi="宋体" w:eastAsia="宋体"/>
          <w:sz w:val="22"/>
        </w:rPr>
        <w:t>最后，基于原始负荷序列构造滞后特征。本文设置了 1 个时间步、4 个时间步、8 个时间步以及 96 个时间步的滞后项，用于反映短时惯性和日周期记忆。其中 96 个时间步对应一天的历史负荷信息，可增强模型对跨日周期变化的表达能力。</w:t>
      </w:r>
    </w:p>
    <w:p>
      <w:pPr>
        <w:spacing w:line="360" w:lineRule="auto" w:after="80"/>
        <w:ind w:firstLine="480"/>
      </w:pPr>
      <w:r>
        <w:rPr>
          <w:rFonts w:ascii="宋体" w:hAnsi="宋体" w:eastAsia="宋体"/>
          <w:sz w:val="22"/>
        </w:rPr>
        <w:t>经过清洗后，数据集中的缺失值已全部处理完毕，满足后续建模要求。</w:t>
      </w:r>
    </w:p>
    <w:p>
      <w:pPr>
        <w:pStyle w:val="Heading2"/>
      </w:pPr>
      <w:r>
        <w:t>3.3 基于 Pearson 相关系数的关键影响因素筛选</w:t>
      </w:r>
    </w:p>
    <w:p>
      <w:pPr>
        <w:jc w:val="center"/>
      </w:pPr>
      <w:r>
        <w:drawing>
          <wp:inline xmlns:a="http://schemas.openxmlformats.org/drawingml/2006/main" xmlns:pic="http://schemas.openxmlformats.org/drawingml/2006/picture">
            <wp:extent cx="4860000" cy="4117318"/>
            <wp:docPr id="3" name="Picture 3"/>
            <wp:cNvGraphicFramePr>
              <a:graphicFrameLocks noChangeAspect="1"/>
            </wp:cNvGraphicFramePr>
            <a:graphic>
              <a:graphicData uri="http://schemas.openxmlformats.org/drawingml/2006/picture">
                <pic:pic>
                  <pic:nvPicPr>
                    <pic:cNvPr id="0" name="step2_pearson_feature_ranking.png"/>
                    <pic:cNvPicPr/>
                  </pic:nvPicPr>
                  <pic:blipFill>
                    <a:blip r:embed="rId11"/>
                    <a:stretch>
                      <a:fillRect/>
                    </a:stretch>
                  </pic:blipFill>
                  <pic:spPr>
                    <a:xfrm>
                      <a:off x="0" y="0"/>
                      <a:ext cx="4860000" cy="4117318"/>
                    </a:xfrm>
                    <a:prstGeom prst="rect"/>
                  </pic:spPr>
                </pic:pic>
              </a:graphicData>
            </a:graphic>
          </wp:inline>
        </w:drawing>
      </w:r>
    </w:p>
    <w:p>
      <w:pPr>
        <w:spacing w:before="160" w:after="160"/>
        <w:jc w:val="center"/>
      </w:pPr>
      <w:r>
        <w:rPr>
          <w:rFonts w:ascii="宋体" w:hAnsi="宋体" w:eastAsia="宋体"/>
          <w:b/>
          <w:color w:val="505050"/>
          <w:sz w:val="21"/>
        </w:rPr>
        <w:t>【图3-4 Pearson相关性排序图】</w:t>
      </w:r>
    </w:p>
    <w:p>
      <w:pPr>
        <w:spacing w:line="360" w:lineRule="auto" w:after="80"/>
        <w:ind w:firstLine="480"/>
      </w:pPr>
      <w:r>
        <w:rPr>
          <w:rFonts w:ascii="宋体" w:hAnsi="宋体" w:eastAsia="宋体"/>
          <w:sz w:val="22"/>
        </w:rPr>
        <w:t>需要注意的是，Pearson 相关系数主要反映变量之间的线性相关程度，并不能完全代表因果关系。因此，本文在选择预测输入时不仅依据相关系数大小，还结合地铁车站通风空调系统的工程机理进行判断。例如，客流变量与负荷高度相关，既有统计依据，也符合人员散热和新风需求随客流增加而上升的工程规律。</w:t>
      </w:r>
    </w:p>
    <w:p>
      <w:pPr>
        <w:spacing w:line="360" w:lineRule="auto" w:after="80"/>
        <w:ind w:firstLine="480"/>
      </w:pPr>
      <w:r>
        <w:rPr>
          <w:rFonts w:ascii="宋体" w:hAnsi="宋体" w:eastAsia="宋体"/>
          <w:sz w:val="22"/>
        </w:rPr>
        <w:t>为了识别影响站台区域总冷负荷的主要因素，本文采用 Pearson 相关系数法对候选特征与目标负荷之间的相关性进行排序。Pearson 相关分析结果如表3-1所示。</w:t>
      </w:r>
    </w:p>
    <w:p>
      <w:pPr>
        <w:spacing w:line="360" w:lineRule="auto" w:after="80"/>
        <w:ind w:firstLine="480"/>
      </w:pPr>
      <w:r>
        <w:rPr>
          <w:rFonts w:ascii="宋体" w:hAnsi="宋体" w:eastAsia="宋体"/>
          <w:sz w:val="22"/>
        </w:rPr>
        <w:t>表3-1 关键影响因素相关性排序</w:t>
      </w:r>
    </w:p>
    <w:tbl>
      <w:tblPr>
        <w:tblStyle w:val="TableGrid"/>
        <w:tblW w:type="auto" w:w="0"/>
        <w:jc w:val="center"/>
        <w:tblLook w:firstColumn="1" w:firstRow="1" w:lastColumn="0" w:lastRow="0" w:noHBand="0" w:noVBand="1" w:val="04A0"/>
      </w:tblPr>
      <w:tblGrid>
        <w:gridCol w:w="4618"/>
        <w:gridCol w:w="4618"/>
      </w:tblGrid>
      <w:tr>
        <w:tc>
          <w:tcPr>
            <w:tcW w:type="dxa" w:w="4618"/>
            <w:vAlign w:val="center"/>
            <w:shd w:fill="D9EAF7"/>
          </w:tcPr>
          <w:p>
            <w:pPr>
              <w:jc w:val="center"/>
            </w:pPr>
            <w:r/>
            <w:r>
              <w:rPr>
                <w:rFonts w:ascii="宋体" w:hAnsi="宋体" w:eastAsia="宋体"/>
                <w:b/>
                <w:sz w:val="18"/>
              </w:rPr>
              <w:t>特征</w:t>
            </w:r>
          </w:p>
        </w:tc>
        <w:tc>
          <w:tcPr>
            <w:tcW w:type="dxa" w:w="4618"/>
            <w:vAlign w:val="center"/>
            <w:shd w:fill="D9EAF7"/>
          </w:tcPr>
          <w:p>
            <w:pPr>
              <w:jc w:val="center"/>
            </w:pPr>
            <w:r/>
            <w:r>
              <w:rPr>
                <w:rFonts w:ascii="宋体" w:hAnsi="宋体" w:eastAsia="宋体"/>
                <w:b/>
                <w:sz w:val="18"/>
              </w:rPr>
              <w:t>Pearson R</w:t>
            </w:r>
          </w:p>
        </w:tc>
      </w:tr>
      <w:tr>
        <w:tc>
          <w:tcPr>
            <w:tcW w:type="dxa" w:w="4618"/>
            <w:vAlign w:val="center"/>
          </w:tcPr>
          <w:p>
            <w:pPr>
              <w:jc w:val="center"/>
            </w:pPr>
            <w:r/>
            <w:r>
              <w:rPr>
                <w:rFonts w:ascii="宋体" w:hAnsi="宋体" w:eastAsia="宋体"/>
                <w:b w:val="0"/>
                <w:sz w:val="18"/>
              </w:rPr>
              <w:t>load_lag_1</w:t>
            </w:r>
          </w:p>
        </w:tc>
        <w:tc>
          <w:tcPr>
            <w:tcW w:type="dxa" w:w="4618"/>
            <w:vAlign w:val="center"/>
          </w:tcPr>
          <w:p>
            <w:pPr>
              <w:jc w:val="center"/>
            </w:pPr>
            <w:r/>
            <w:r>
              <w:rPr>
                <w:rFonts w:ascii="宋体" w:hAnsi="宋体" w:eastAsia="宋体"/>
                <w:b w:val="0"/>
                <w:sz w:val="18"/>
              </w:rPr>
              <w:t>0.9794</w:t>
            </w:r>
          </w:p>
        </w:tc>
      </w:tr>
      <w:tr>
        <w:tc>
          <w:tcPr>
            <w:tcW w:type="dxa" w:w="4618"/>
            <w:vAlign w:val="center"/>
          </w:tcPr>
          <w:p>
            <w:pPr>
              <w:jc w:val="center"/>
            </w:pPr>
            <w:r/>
            <w:r>
              <w:rPr>
                <w:rFonts w:ascii="宋体" w:hAnsi="宋体" w:eastAsia="宋体"/>
                <w:b w:val="0"/>
                <w:sz w:val="18"/>
              </w:rPr>
              <w:t>entry_flow</w:t>
            </w:r>
          </w:p>
        </w:tc>
        <w:tc>
          <w:tcPr>
            <w:tcW w:type="dxa" w:w="4618"/>
            <w:vAlign w:val="center"/>
          </w:tcPr>
          <w:p>
            <w:pPr>
              <w:jc w:val="center"/>
            </w:pPr>
            <w:r/>
            <w:r>
              <w:rPr>
                <w:rFonts w:ascii="宋体" w:hAnsi="宋体" w:eastAsia="宋体"/>
                <w:b w:val="0"/>
                <w:sz w:val="18"/>
              </w:rPr>
              <w:t>0.9620</w:t>
            </w:r>
          </w:p>
        </w:tc>
      </w:tr>
      <w:tr>
        <w:tc>
          <w:tcPr>
            <w:tcW w:type="dxa" w:w="4618"/>
            <w:vAlign w:val="center"/>
          </w:tcPr>
          <w:p>
            <w:pPr>
              <w:jc w:val="left"/>
            </w:pPr>
            <w:r/>
            <w:r>
              <w:rPr>
                <w:rFonts w:ascii="宋体" w:hAnsi="宋体" w:eastAsia="宋体"/>
                <w:b w:val="0"/>
                <w:sz w:val="18"/>
              </w:rPr>
              <w:t>platform_passengers</w:t>
            </w:r>
          </w:p>
        </w:tc>
        <w:tc>
          <w:tcPr>
            <w:tcW w:type="dxa" w:w="4618"/>
            <w:vAlign w:val="center"/>
          </w:tcPr>
          <w:p>
            <w:pPr>
              <w:jc w:val="center"/>
            </w:pPr>
            <w:r/>
            <w:r>
              <w:rPr>
                <w:rFonts w:ascii="宋体" w:hAnsi="宋体" w:eastAsia="宋体"/>
                <w:b w:val="0"/>
                <w:sz w:val="18"/>
              </w:rPr>
              <w:t>0.9573</w:t>
            </w:r>
          </w:p>
        </w:tc>
      </w:tr>
      <w:tr>
        <w:tc>
          <w:tcPr>
            <w:tcW w:type="dxa" w:w="4618"/>
            <w:vAlign w:val="center"/>
          </w:tcPr>
          <w:p>
            <w:pPr>
              <w:jc w:val="center"/>
            </w:pPr>
            <w:r/>
            <w:r>
              <w:rPr>
                <w:rFonts w:ascii="宋体" w:hAnsi="宋体" w:eastAsia="宋体"/>
                <w:b w:val="0"/>
                <w:sz w:val="18"/>
              </w:rPr>
              <w:t>exit_flow</w:t>
            </w:r>
          </w:p>
        </w:tc>
        <w:tc>
          <w:tcPr>
            <w:tcW w:type="dxa" w:w="4618"/>
            <w:vAlign w:val="center"/>
          </w:tcPr>
          <w:p>
            <w:pPr>
              <w:jc w:val="center"/>
            </w:pPr>
            <w:r/>
            <w:r>
              <w:rPr>
                <w:rFonts w:ascii="宋体" w:hAnsi="宋体" w:eastAsia="宋体"/>
                <w:b w:val="0"/>
                <w:sz w:val="18"/>
              </w:rPr>
              <w:t>0.9510</w:t>
            </w:r>
          </w:p>
        </w:tc>
      </w:tr>
      <w:tr>
        <w:tc>
          <w:tcPr>
            <w:tcW w:type="dxa" w:w="4618"/>
            <w:vAlign w:val="center"/>
          </w:tcPr>
          <w:p>
            <w:pPr>
              <w:jc w:val="center"/>
            </w:pPr>
            <w:r/>
            <w:r>
              <w:rPr>
                <w:rFonts w:ascii="宋体" w:hAnsi="宋体" w:eastAsia="宋体"/>
                <w:b w:val="0"/>
                <w:sz w:val="18"/>
              </w:rPr>
              <w:t>load_lag_4</w:t>
            </w:r>
          </w:p>
        </w:tc>
        <w:tc>
          <w:tcPr>
            <w:tcW w:type="dxa" w:w="4618"/>
            <w:vAlign w:val="center"/>
          </w:tcPr>
          <w:p>
            <w:pPr>
              <w:jc w:val="center"/>
            </w:pPr>
            <w:r/>
            <w:r>
              <w:rPr>
                <w:rFonts w:ascii="宋体" w:hAnsi="宋体" w:eastAsia="宋体"/>
                <w:b w:val="0"/>
                <w:sz w:val="18"/>
              </w:rPr>
              <w:t>0.9244</w:t>
            </w:r>
          </w:p>
        </w:tc>
      </w:tr>
      <w:tr>
        <w:tc>
          <w:tcPr>
            <w:tcW w:type="dxa" w:w="4618"/>
            <w:vAlign w:val="center"/>
          </w:tcPr>
          <w:p>
            <w:pPr>
              <w:jc w:val="center"/>
            </w:pPr>
            <w:r/>
            <w:r>
              <w:rPr>
                <w:rFonts w:ascii="宋体" w:hAnsi="宋体" w:eastAsia="宋体"/>
                <w:b w:val="0"/>
                <w:sz w:val="18"/>
              </w:rPr>
              <w:t>co2</w:t>
            </w:r>
          </w:p>
        </w:tc>
        <w:tc>
          <w:tcPr>
            <w:tcW w:type="dxa" w:w="4618"/>
            <w:vAlign w:val="center"/>
          </w:tcPr>
          <w:p>
            <w:pPr>
              <w:jc w:val="center"/>
            </w:pPr>
            <w:r/>
            <w:r>
              <w:rPr>
                <w:rFonts w:ascii="宋体" w:hAnsi="宋体" w:eastAsia="宋体"/>
                <w:b w:val="0"/>
                <w:sz w:val="18"/>
              </w:rPr>
              <w:t>0.9213</w:t>
            </w:r>
          </w:p>
        </w:tc>
      </w:tr>
      <w:tr>
        <w:tc>
          <w:tcPr>
            <w:tcW w:type="dxa" w:w="4618"/>
            <w:vAlign w:val="center"/>
          </w:tcPr>
          <w:p>
            <w:pPr>
              <w:jc w:val="center"/>
            </w:pPr>
            <w:r/>
            <w:r>
              <w:rPr>
                <w:rFonts w:ascii="宋体" w:hAnsi="宋体" w:eastAsia="宋体"/>
                <w:b w:val="0"/>
                <w:sz w:val="18"/>
              </w:rPr>
              <w:t>outdoor_temp</w:t>
            </w:r>
          </w:p>
        </w:tc>
        <w:tc>
          <w:tcPr>
            <w:tcW w:type="dxa" w:w="4618"/>
            <w:vAlign w:val="center"/>
          </w:tcPr>
          <w:p>
            <w:pPr>
              <w:jc w:val="center"/>
            </w:pPr>
            <w:r/>
            <w:r>
              <w:rPr>
                <w:rFonts w:ascii="宋体" w:hAnsi="宋体" w:eastAsia="宋体"/>
                <w:b w:val="0"/>
                <w:sz w:val="18"/>
              </w:rPr>
              <w:t>0.8465</w:t>
            </w:r>
          </w:p>
        </w:tc>
      </w:tr>
      <w:tr>
        <w:tc>
          <w:tcPr>
            <w:tcW w:type="dxa" w:w="4618"/>
            <w:vAlign w:val="center"/>
          </w:tcPr>
          <w:p>
            <w:pPr>
              <w:jc w:val="center"/>
            </w:pPr>
            <w:r/>
            <w:r>
              <w:rPr>
                <w:rFonts w:ascii="宋体" w:hAnsi="宋体" w:eastAsia="宋体"/>
                <w:b w:val="0"/>
                <w:sz w:val="18"/>
              </w:rPr>
              <w:t>platform_temp</w:t>
            </w:r>
          </w:p>
        </w:tc>
        <w:tc>
          <w:tcPr>
            <w:tcW w:type="dxa" w:w="4618"/>
            <w:vAlign w:val="center"/>
          </w:tcPr>
          <w:p>
            <w:pPr>
              <w:jc w:val="center"/>
            </w:pPr>
            <w:r/>
            <w:r>
              <w:rPr>
                <w:rFonts w:ascii="宋体" w:hAnsi="宋体" w:eastAsia="宋体"/>
                <w:b w:val="0"/>
                <w:sz w:val="18"/>
              </w:rPr>
              <w:t>0.8376</w:t>
            </w:r>
          </w:p>
        </w:tc>
      </w:tr>
      <w:tr>
        <w:tc>
          <w:tcPr>
            <w:tcW w:type="dxa" w:w="4618"/>
            <w:vAlign w:val="center"/>
          </w:tcPr>
          <w:p>
            <w:pPr>
              <w:jc w:val="center"/>
            </w:pPr>
            <w:r/>
            <w:r>
              <w:rPr>
                <w:rFonts w:ascii="宋体" w:hAnsi="宋体" w:eastAsia="宋体"/>
                <w:b w:val="0"/>
                <w:sz w:val="18"/>
              </w:rPr>
              <w:t>solar_radiation</w:t>
            </w:r>
          </w:p>
        </w:tc>
        <w:tc>
          <w:tcPr>
            <w:tcW w:type="dxa" w:w="4618"/>
            <w:vAlign w:val="center"/>
          </w:tcPr>
          <w:p>
            <w:pPr>
              <w:jc w:val="center"/>
            </w:pPr>
            <w:r/>
            <w:r>
              <w:rPr>
                <w:rFonts w:ascii="宋体" w:hAnsi="宋体" w:eastAsia="宋体"/>
                <w:b w:val="0"/>
                <w:sz w:val="18"/>
              </w:rPr>
              <w:t>0.8051</w:t>
            </w:r>
          </w:p>
        </w:tc>
      </w:tr>
      <w:tr>
        <w:tc>
          <w:tcPr>
            <w:tcW w:type="dxa" w:w="4618"/>
            <w:vAlign w:val="center"/>
          </w:tcPr>
          <w:p>
            <w:pPr>
              <w:jc w:val="center"/>
            </w:pPr>
            <w:r/>
            <w:r>
              <w:rPr>
                <w:rFonts w:ascii="宋体" w:hAnsi="宋体" w:eastAsia="宋体"/>
                <w:b w:val="0"/>
                <w:sz w:val="18"/>
              </w:rPr>
              <w:t>load_lag_8</w:t>
            </w:r>
          </w:p>
        </w:tc>
        <w:tc>
          <w:tcPr>
            <w:tcW w:type="dxa" w:w="4618"/>
            <w:vAlign w:val="center"/>
          </w:tcPr>
          <w:p>
            <w:pPr>
              <w:jc w:val="center"/>
            </w:pPr>
            <w:r/>
            <w:r>
              <w:rPr>
                <w:rFonts w:ascii="宋体" w:hAnsi="宋体" w:eastAsia="宋体"/>
                <w:b w:val="0"/>
                <w:sz w:val="18"/>
              </w:rPr>
              <w:t>0.7833</w:t>
            </w:r>
          </w:p>
        </w:tc>
      </w:tr>
      <w:tr>
        <w:tc>
          <w:tcPr>
            <w:tcW w:type="dxa" w:w="4618"/>
            <w:vAlign w:val="center"/>
          </w:tcPr>
          <w:p>
            <w:pPr>
              <w:jc w:val="center"/>
            </w:pPr>
            <w:r/>
            <w:r>
              <w:rPr>
                <w:rFonts w:ascii="宋体" w:hAnsi="宋体" w:eastAsia="宋体"/>
                <w:b w:val="0"/>
                <w:sz w:val="18"/>
              </w:rPr>
              <w:t>load_lag_96</w:t>
            </w:r>
          </w:p>
        </w:tc>
        <w:tc>
          <w:tcPr>
            <w:tcW w:type="dxa" w:w="4618"/>
            <w:vAlign w:val="center"/>
          </w:tcPr>
          <w:p>
            <w:pPr>
              <w:jc w:val="center"/>
            </w:pPr>
            <w:r/>
            <w:r>
              <w:rPr>
                <w:rFonts w:ascii="宋体" w:hAnsi="宋体" w:eastAsia="宋体"/>
                <w:b w:val="0"/>
                <w:sz w:val="18"/>
              </w:rPr>
              <w:t>0.7585</w:t>
            </w:r>
          </w:p>
        </w:tc>
      </w:tr>
      <w:tr>
        <w:tc>
          <w:tcPr>
            <w:tcW w:type="dxa" w:w="4618"/>
            <w:vAlign w:val="center"/>
          </w:tcPr>
          <w:p>
            <w:pPr>
              <w:jc w:val="center"/>
            </w:pPr>
            <w:r/>
            <w:r>
              <w:rPr>
                <w:rFonts w:ascii="宋体" w:hAnsi="宋体" w:eastAsia="宋体"/>
                <w:b w:val="0"/>
                <w:sz w:val="18"/>
              </w:rPr>
              <w:t>hour_cos</w:t>
            </w:r>
          </w:p>
        </w:tc>
        <w:tc>
          <w:tcPr>
            <w:tcW w:type="dxa" w:w="4618"/>
            <w:vAlign w:val="center"/>
          </w:tcPr>
          <w:p>
            <w:pPr>
              <w:jc w:val="center"/>
            </w:pPr>
            <w:r/>
            <w:r>
              <w:rPr>
                <w:rFonts w:ascii="宋体" w:hAnsi="宋体" w:eastAsia="宋体"/>
                <w:b w:val="0"/>
                <w:sz w:val="18"/>
              </w:rPr>
              <w:t>-0.7581</w:t>
            </w:r>
          </w:p>
        </w:tc>
      </w:tr>
    </w:tbl>
    <w:p/>
    <w:p>
      <w:pPr>
        <w:spacing w:line="360" w:lineRule="auto" w:after="80"/>
        <w:ind w:firstLine="480"/>
      </w:pPr>
      <w:r>
        <w:rPr>
          <w:rFonts w:ascii="宋体" w:hAnsi="宋体" w:eastAsia="宋体"/>
          <w:sz w:val="22"/>
        </w:rPr>
        <w:t>从结果可以看出，系统总冷负荷与历史负荷高度相关，其中 1 个时间步滞后项的相关系数最高，说明负荷序列具有明显的惯性和连续性。客流相关变量，包括进站客流、出站客流和站台在岗人数，均与总冷负荷表现出很强的正相关关系，表明人员活动是负荷变化的重要驱动因素。二氧化碳浓度与总冷负荷也呈现较高相关性，说明站内人员密度和通风需求之间存在紧密联系。</w:t>
      </w:r>
    </w:p>
    <w:p>
      <w:pPr>
        <w:spacing w:line="360" w:lineRule="auto" w:after="80"/>
        <w:ind w:firstLine="480"/>
      </w:pPr>
      <w:r>
        <w:rPr>
          <w:rFonts w:ascii="宋体" w:hAnsi="宋体" w:eastAsia="宋体"/>
          <w:sz w:val="22"/>
        </w:rPr>
        <w:t>气象变量中，室外温度、站台温度和太阳辐射与总冷负荷相关性较高，说明外部环境条件和站内热环境会显著影响系统负荷。相比之下，周末标识和部分周期编码变量的相关性较弱，说明在本样本中，负荷波动更多由实时客流和环境因素主导。</w:t>
      </w:r>
    </w:p>
    <w:p>
      <w:pPr>
        <w:spacing w:line="360" w:lineRule="auto" w:after="80"/>
        <w:ind w:firstLine="480"/>
      </w:pPr>
      <w:r>
        <w:rPr>
          <w:rFonts w:ascii="宋体" w:hAnsi="宋体" w:eastAsia="宋体"/>
          <w:sz w:val="22"/>
        </w:rPr>
        <w:t>结合相关性排序与工程解释性，本文选取前 8 到 10 个关键影响因素作为后续预测模型的核心输入，包括进站客流、出站客流、站台在岗人数、室外温度、室外湿度、太阳辐射、站台温度、二氧化碳浓度以及若干滞后负荷项。</w:t>
      </w:r>
    </w:p>
    <w:p>
      <w:pPr>
        <w:pStyle w:val="Heading2"/>
      </w:pPr>
      <w:r>
        <w:t>3.4 负荷分项分解</w:t>
      </w:r>
    </w:p>
    <w:p>
      <w:pPr>
        <w:jc w:val="center"/>
      </w:pPr>
      <w:r>
        <w:drawing>
          <wp:inline xmlns:a="http://schemas.openxmlformats.org/drawingml/2006/main" xmlns:pic="http://schemas.openxmlformats.org/drawingml/2006/picture">
            <wp:extent cx="4860000" cy="3530034"/>
            <wp:docPr id="4" name="Picture 4"/>
            <wp:cNvGraphicFramePr>
              <a:graphicFrameLocks noChangeAspect="1"/>
            </wp:cNvGraphicFramePr>
            <a:graphic>
              <a:graphicData uri="http://schemas.openxmlformats.org/drawingml/2006/picture">
                <pic:pic>
                  <pic:nvPicPr>
                    <pic:cNvPr id="0" name="step2_load_component_ratio.png"/>
                    <pic:cNvPicPr/>
                  </pic:nvPicPr>
                  <pic:blipFill>
                    <a:blip r:embed="rId12"/>
                    <a:stretch>
                      <a:fillRect/>
                    </a:stretch>
                  </pic:blipFill>
                  <pic:spPr>
                    <a:xfrm>
                      <a:off x="0" y="0"/>
                      <a:ext cx="4860000" cy="3530034"/>
                    </a:xfrm>
                    <a:prstGeom prst="rect"/>
                  </pic:spPr>
                </pic:pic>
              </a:graphicData>
            </a:graphic>
          </wp:inline>
        </w:drawing>
      </w:r>
    </w:p>
    <w:p>
      <w:pPr>
        <w:spacing w:before="160" w:after="160"/>
        <w:jc w:val="center"/>
      </w:pPr>
      <w:r>
        <w:rPr>
          <w:rFonts w:ascii="宋体" w:hAnsi="宋体" w:eastAsia="宋体"/>
          <w:b/>
          <w:color w:val="505050"/>
          <w:sz w:val="21"/>
        </w:rPr>
        <w:t>【图3-5 负荷分项占比图】</w:t>
      </w:r>
    </w:p>
    <w:p>
      <w:pPr>
        <w:spacing w:line="360" w:lineRule="auto" w:after="80"/>
        <w:ind w:firstLine="480"/>
      </w:pPr>
      <w:r>
        <w:rPr>
          <w:rFonts w:ascii="宋体" w:hAnsi="宋体" w:eastAsia="宋体"/>
          <w:sz w:val="22"/>
        </w:rPr>
        <w:t>负荷分项结果对容量配置具有直接启示。围护结构负荷和设备散热负荷占比较高，说明站台区域存在较大的基础负荷，即使在客流较低时段，系统仍需维持一定供冷和通风能力。人员负荷占比虽然相对较小，但其波动性强，是导致峰值负荷变化的重要因素。因此，容量配置既要保证基础负荷需求，也要考虑客流峰值带来的短时波动。</w:t>
      </w:r>
    </w:p>
    <w:p>
      <w:pPr>
        <w:spacing w:line="360" w:lineRule="auto" w:after="80"/>
        <w:ind w:firstLine="480"/>
      </w:pPr>
      <w:r>
        <w:rPr>
          <w:rFonts w:ascii="宋体" w:hAnsi="宋体" w:eastAsia="宋体"/>
          <w:sz w:val="22"/>
        </w:rPr>
        <w:t>为了进一步理解系统总负荷的组成结构，本文将负荷分解为人员负荷、新风负荷、围护结构负荷和设备散热负荷四部分，并统计各分项平均占比。结果如表3-2所示。</w:t>
      </w:r>
    </w:p>
    <w:p>
      <w:pPr>
        <w:spacing w:line="360" w:lineRule="auto" w:after="80"/>
        <w:ind w:firstLine="480"/>
      </w:pPr>
      <w:r>
        <w:rPr>
          <w:rFonts w:ascii="宋体" w:hAnsi="宋体" w:eastAsia="宋体"/>
          <w:sz w:val="22"/>
        </w:rPr>
        <w:t>表3-2 负荷分项平均占比</w:t>
      </w:r>
    </w:p>
    <w:tbl>
      <w:tblPr>
        <w:tblStyle w:val="TableGrid"/>
        <w:tblW w:type="auto" w:w="0"/>
        <w:jc w:val="center"/>
        <w:tblLook w:firstColumn="1" w:firstRow="1" w:lastColumn="0" w:lastRow="0" w:noHBand="0" w:noVBand="1" w:val="04A0"/>
      </w:tblPr>
      <w:tblGrid>
        <w:gridCol w:w="3079"/>
        <w:gridCol w:w="3079"/>
        <w:gridCol w:w="3079"/>
      </w:tblGrid>
      <w:tr>
        <w:tc>
          <w:tcPr>
            <w:tcW w:type="dxa" w:w="3079"/>
            <w:vAlign w:val="center"/>
            <w:shd w:fill="D9EAF7"/>
          </w:tcPr>
          <w:p>
            <w:pPr>
              <w:jc w:val="center"/>
            </w:pPr>
            <w:r/>
            <w:r>
              <w:rPr>
                <w:rFonts w:ascii="宋体" w:hAnsi="宋体" w:eastAsia="宋体"/>
                <w:b/>
                <w:sz w:val="18"/>
              </w:rPr>
              <w:t>分项</w:t>
            </w:r>
          </w:p>
        </w:tc>
        <w:tc>
          <w:tcPr>
            <w:tcW w:type="dxa" w:w="3079"/>
            <w:vAlign w:val="center"/>
            <w:shd w:fill="D9EAF7"/>
          </w:tcPr>
          <w:p>
            <w:pPr>
              <w:jc w:val="center"/>
            </w:pPr>
            <w:r/>
            <w:r>
              <w:rPr>
                <w:rFonts w:ascii="宋体" w:hAnsi="宋体" w:eastAsia="宋体"/>
                <w:b/>
                <w:sz w:val="18"/>
              </w:rPr>
              <w:t>平均负荷/kW</w:t>
            </w:r>
          </w:p>
        </w:tc>
        <w:tc>
          <w:tcPr>
            <w:tcW w:type="dxa" w:w="3079"/>
            <w:vAlign w:val="center"/>
            <w:shd w:fill="D9EAF7"/>
          </w:tcPr>
          <w:p>
            <w:pPr>
              <w:jc w:val="center"/>
            </w:pPr>
            <w:r/>
            <w:r>
              <w:rPr>
                <w:rFonts w:ascii="宋体" w:hAnsi="宋体" w:eastAsia="宋体"/>
                <w:b/>
                <w:sz w:val="18"/>
              </w:rPr>
              <w:t>占比</w:t>
            </w:r>
          </w:p>
        </w:tc>
      </w:tr>
      <w:tr>
        <w:tc>
          <w:tcPr>
            <w:tcW w:type="dxa" w:w="3079"/>
            <w:vAlign w:val="center"/>
          </w:tcPr>
          <w:p>
            <w:pPr>
              <w:jc w:val="center"/>
            </w:pPr>
            <w:r/>
            <w:r>
              <w:rPr>
                <w:rFonts w:ascii="宋体" w:hAnsi="宋体" w:eastAsia="宋体"/>
                <w:b w:val="0"/>
                <w:sz w:val="18"/>
              </w:rPr>
              <w:t>人员负荷</w:t>
            </w:r>
          </w:p>
        </w:tc>
        <w:tc>
          <w:tcPr>
            <w:tcW w:type="dxa" w:w="3079"/>
            <w:vAlign w:val="center"/>
          </w:tcPr>
          <w:p>
            <w:pPr>
              <w:jc w:val="center"/>
            </w:pPr>
            <w:r/>
            <w:r>
              <w:rPr>
                <w:rFonts w:ascii="宋体" w:hAnsi="宋体" w:eastAsia="宋体"/>
                <w:b w:val="0"/>
                <w:sz w:val="18"/>
              </w:rPr>
              <w:t>10.04</w:t>
            </w:r>
          </w:p>
        </w:tc>
        <w:tc>
          <w:tcPr>
            <w:tcW w:type="dxa" w:w="3079"/>
            <w:vAlign w:val="center"/>
          </w:tcPr>
          <w:p>
            <w:pPr>
              <w:jc w:val="center"/>
            </w:pPr>
            <w:r/>
            <w:r>
              <w:rPr>
                <w:rFonts w:ascii="宋体" w:hAnsi="宋体" w:eastAsia="宋体"/>
                <w:b w:val="0"/>
                <w:sz w:val="18"/>
              </w:rPr>
              <w:t>5.80%</w:t>
            </w:r>
          </w:p>
        </w:tc>
      </w:tr>
      <w:tr>
        <w:tc>
          <w:tcPr>
            <w:tcW w:type="dxa" w:w="3079"/>
            <w:vAlign w:val="center"/>
          </w:tcPr>
          <w:p>
            <w:pPr>
              <w:jc w:val="center"/>
            </w:pPr>
            <w:r/>
            <w:r>
              <w:rPr>
                <w:rFonts w:ascii="宋体" w:hAnsi="宋体" w:eastAsia="宋体"/>
                <w:b w:val="0"/>
                <w:sz w:val="18"/>
              </w:rPr>
              <w:t>新风负荷</w:t>
            </w:r>
          </w:p>
        </w:tc>
        <w:tc>
          <w:tcPr>
            <w:tcW w:type="dxa" w:w="3079"/>
            <w:vAlign w:val="center"/>
          </w:tcPr>
          <w:p>
            <w:pPr>
              <w:jc w:val="center"/>
            </w:pPr>
            <w:r/>
            <w:r>
              <w:rPr>
                <w:rFonts w:ascii="宋体" w:hAnsi="宋体" w:eastAsia="宋体"/>
                <w:b w:val="0"/>
                <w:sz w:val="18"/>
              </w:rPr>
              <w:t>18.25</w:t>
            </w:r>
          </w:p>
        </w:tc>
        <w:tc>
          <w:tcPr>
            <w:tcW w:type="dxa" w:w="3079"/>
            <w:vAlign w:val="center"/>
          </w:tcPr>
          <w:p>
            <w:pPr>
              <w:jc w:val="center"/>
            </w:pPr>
            <w:r/>
            <w:r>
              <w:rPr>
                <w:rFonts w:ascii="宋体" w:hAnsi="宋体" w:eastAsia="宋体"/>
                <w:b w:val="0"/>
                <w:sz w:val="18"/>
              </w:rPr>
              <w:t>10.55%</w:t>
            </w:r>
          </w:p>
        </w:tc>
      </w:tr>
      <w:tr>
        <w:tc>
          <w:tcPr>
            <w:tcW w:type="dxa" w:w="3079"/>
            <w:vAlign w:val="center"/>
          </w:tcPr>
          <w:p>
            <w:pPr>
              <w:jc w:val="center"/>
            </w:pPr>
            <w:r/>
            <w:r>
              <w:rPr>
                <w:rFonts w:ascii="宋体" w:hAnsi="宋体" w:eastAsia="宋体"/>
                <w:b w:val="0"/>
                <w:sz w:val="18"/>
              </w:rPr>
              <w:t>围护结构负荷</w:t>
            </w:r>
          </w:p>
        </w:tc>
        <w:tc>
          <w:tcPr>
            <w:tcW w:type="dxa" w:w="3079"/>
            <w:vAlign w:val="center"/>
          </w:tcPr>
          <w:p>
            <w:pPr>
              <w:jc w:val="center"/>
            </w:pPr>
            <w:r/>
            <w:r>
              <w:rPr>
                <w:rFonts w:ascii="宋体" w:hAnsi="宋体" w:eastAsia="宋体"/>
                <w:b w:val="0"/>
                <w:sz w:val="18"/>
              </w:rPr>
              <w:t>88.52</w:t>
            </w:r>
          </w:p>
        </w:tc>
        <w:tc>
          <w:tcPr>
            <w:tcW w:type="dxa" w:w="3079"/>
            <w:vAlign w:val="center"/>
          </w:tcPr>
          <w:p>
            <w:pPr>
              <w:jc w:val="center"/>
            </w:pPr>
            <w:r/>
            <w:r>
              <w:rPr>
                <w:rFonts w:ascii="宋体" w:hAnsi="宋体" w:eastAsia="宋体"/>
                <w:b w:val="0"/>
                <w:sz w:val="18"/>
              </w:rPr>
              <w:t>51.14%</w:t>
            </w:r>
          </w:p>
        </w:tc>
      </w:tr>
      <w:tr>
        <w:tc>
          <w:tcPr>
            <w:tcW w:type="dxa" w:w="3079"/>
            <w:vAlign w:val="center"/>
          </w:tcPr>
          <w:p>
            <w:pPr>
              <w:jc w:val="center"/>
            </w:pPr>
            <w:r/>
            <w:r>
              <w:rPr>
                <w:rFonts w:ascii="宋体" w:hAnsi="宋体" w:eastAsia="宋体"/>
                <w:b w:val="0"/>
                <w:sz w:val="18"/>
              </w:rPr>
              <w:t>设备散热负荷</w:t>
            </w:r>
          </w:p>
        </w:tc>
        <w:tc>
          <w:tcPr>
            <w:tcW w:type="dxa" w:w="3079"/>
            <w:vAlign w:val="center"/>
          </w:tcPr>
          <w:p>
            <w:pPr>
              <w:jc w:val="center"/>
            </w:pPr>
            <w:r/>
            <w:r>
              <w:rPr>
                <w:rFonts w:ascii="宋体" w:hAnsi="宋体" w:eastAsia="宋体"/>
                <w:b w:val="0"/>
                <w:sz w:val="18"/>
              </w:rPr>
              <w:t>51.15</w:t>
            </w:r>
          </w:p>
        </w:tc>
        <w:tc>
          <w:tcPr>
            <w:tcW w:type="dxa" w:w="3079"/>
            <w:vAlign w:val="center"/>
          </w:tcPr>
          <w:p>
            <w:pPr>
              <w:jc w:val="center"/>
            </w:pPr>
            <w:r/>
            <w:r>
              <w:rPr>
                <w:rFonts w:ascii="宋体" w:hAnsi="宋体" w:eastAsia="宋体"/>
                <w:b w:val="0"/>
                <w:sz w:val="18"/>
              </w:rPr>
              <w:t>29.55%</w:t>
            </w:r>
          </w:p>
        </w:tc>
      </w:tr>
    </w:tbl>
    <w:p/>
    <w:p>
      <w:pPr>
        <w:spacing w:line="360" w:lineRule="auto" w:after="80"/>
        <w:ind w:firstLine="480"/>
      </w:pPr>
      <w:r>
        <w:rPr>
          <w:rFonts w:ascii="宋体" w:hAnsi="宋体" w:eastAsia="宋体"/>
          <w:sz w:val="22"/>
        </w:rPr>
        <w:t>结果表明，围护结构负荷在总负荷中占比最高，达到 51.14%，说明站台区域冷负荷主要受围护结构传热和地下环境耦合作用影响。设备散热负荷占比为 29.55%，是第二大负荷来源，表明站台照明、电扶梯、屏蔽门及其他机电设备运行会持续产生大量热量。新风负荷占比为 10.55%，反映了保证空气品质所需的新风处理负担。人员负荷占比为 5.80%，虽然相对较小，但其变化与客流高峰直接相关，对负荷波动具有重要影响。</w:t>
      </w:r>
    </w:p>
    <w:p>
      <w:pPr>
        <w:spacing w:line="360" w:lineRule="auto" w:after="80"/>
        <w:ind w:firstLine="480"/>
      </w:pPr>
      <w:r>
        <w:rPr>
          <w:rFonts w:ascii="宋体" w:hAnsi="宋体" w:eastAsia="宋体"/>
          <w:sz w:val="22"/>
        </w:rPr>
        <w:t>从工程角度看，该分项结构说明地铁车站站台区域负荷并非单纯由客流决定，而是由围护结构、设备运行和新风处理共同主导。这也进一步说明，容量配置优化不能仅以客流峰值进行粗略估算，而应充分考虑站台区域运行负荷的实际组成特征。</w:t>
      </w:r>
    </w:p>
    <w:p>
      <w:pPr>
        <w:pStyle w:val="Heading2"/>
      </w:pPr>
      <w:r>
        <w:t>3.5 基于 K-Means 的典型负荷曲线聚类</w:t>
      </w:r>
    </w:p>
    <w:p>
      <w:pPr>
        <w:jc w:val="center"/>
      </w:pPr>
      <w:r>
        <w:drawing>
          <wp:inline xmlns:a="http://schemas.openxmlformats.org/drawingml/2006/main" xmlns:pic="http://schemas.openxmlformats.org/drawingml/2006/picture">
            <wp:extent cx="4860000" cy="3995787"/>
            <wp:docPr id="5" name="Picture 5"/>
            <wp:cNvGraphicFramePr>
              <a:graphicFrameLocks noChangeAspect="1"/>
            </wp:cNvGraphicFramePr>
            <a:graphic>
              <a:graphicData uri="http://schemas.openxmlformats.org/drawingml/2006/picture">
                <pic:pic>
                  <pic:nvPicPr>
                    <pic:cNvPr id="0" name="step2_daily_load_clusters.png"/>
                    <pic:cNvPicPr/>
                  </pic:nvPicPr>
                  <pic:blipFill>
                    <a:blip r:embed="rId13"/>
                    <a:stretch>
                      <a:fillRect/>
                    </a:stretch>
                  </pic:blipFill>
                  <pic:spPr>
                    <a:xfrm>
                      <a:off x="0" y="0"/>
                      <a:ext cx="4860000" cy="3995787"/>
                    </a:xfrm>
                    <a:prstGeom prst="rect"/>
                  </pic:spPr>
                </pic:pic>
              </a:graphicData>
            </a:graphic>
          </wp:inline>
        </w:drawing>
      </w:r>
    </w:p>
    <w:p>
      <w:pPr>
        <w:spacing w:before="160" w:after="160"/>
        <w:jc w:val="center"/>
      </w:pPr>
      <w:r>
        <w:rPr>
          <w:rFonts w:ascii="宋体" w:hAnsi="宋体" w:eastAsia="宋体"/>
          <w:b/>
          <w:color w:val="505050"/>
          <w:sz w:val="21"/>
        </w:rPr>
        <w:t>【图3-6 典型日负荷曲线聚类图】</w:t>
      </w:r>
    </w:p>
    <w:p>
      <w:pPr>
        <w:spacing w:line="360" w:lineRule="auto" w:after="80"/>
        <w:ind w:firstLine="480"/>
      </w:pPr>
      <w:r>
        <w:rPr>
          <w:rFonts w:ascii="宋体" w:hAnsi="宋体" w:eastAsia="宋体"/>
          <w:sz w:val="22"/>
        </w:rPr>
        <w:t>聚类结果还可用于解释不同运行场景下的设备调节需求。工作日双峰高负荷型需要系统具备较强的高峰响应能力；工作日平稳中负荷型更关注部分负荷效率；周末午后单峰型需要设备具备灵活启停能力；低客流低负荷型则要求系统避免大容量设备长时间低效运行。这些差异为后续容量配置优化提供了工程依据。</w:t>
      </w:r>
    </w:p>
    <w:p>
      <w:pPr>
        <w:spacing w:line="360" w:lineRule="auto" w:after="80"/>
        <w:ind w:firstLine="480"/>
      </w:pPr>
      <w:r>
        <w:rPr>
          <w:rFonts w:ascii="宋体" w:hAnsi="宋体" w:eastAsia="宋体"/>
          <w:sz w:val="22"/>
        </w:rPr>
        <w:t>为了识别站台区域日负荷曲线的典型变化模式，本文对每日 15 分钟粒度的负荷曲线进行归一化处理，并采用 K-Means 算法在 K = 2 至 K = 6 的范围内进行聚类分析。不同聚类数对应的平均轮廓系数如表3-3所示。</w:t>
      </w:r>
    </w:p>
    <w:p>
      <w:pPr>
        <w:spacing w:line="360" w:lineRule="auto" w:after="80"/>
        <w:ind w:firstLine="480"/>
      </w:pPr>
      <w:r>
        <w:rPr>
          <w:rFonts w:ascii="宋体" w:hAnsi="宋体" w:eastAsia="宋体"/>
          <w:sz w:val="22"/>
        </w:rPr>
        <w:t>表3-3 不同聚类数的轮廓系数</w:t>
      </w:r>
    </w:p>
    <w:tbl>
      <w:tblPr>
        <w:tblStyle w:val="TableGrid"/>
        <w:tblW w:type="auto" w:w="0"/>
        <w:jc w:val="center"/>
        <w:tblLook w:firstColumn="1" w:firstRow="1" w:lastColumn="0" w:lastRow="0" w:noHBand="0" w:noVBand="1" w:val="04A0"/>
      </w:tblPr>
      <w:tblGrid>
        <w:gridCol w:w="4618"/>
        <w:gridCol w:w="4618"/>
      </w:tblGrid>
      <w:tr>
        <w:tc>
          <w:tcPr>
            <w:tcW w:type="dxa" w:w="4618"/>
            <w:vAlign w:val="center"/>
            <w:shd w:fill="D9EAF7"/>
          </w:tcPr>
          <w:p>
            <w:pPr>
              <w:jc w:val="center"/>
            </w:pPr>
            <w:r/>
            <w:r>
              <w:rPr>
                <w:rFonts w:ascii="宋体" w:hAnsi="宋体" w:eastAsia="宋体"/>
                <w:b/>
                <w:sz w:val="18"/>
              </w:rPr>
              <w:t>K</w:t>
            </w:r>
          </w:p>
        </w:tc>
        <w:tc>
          <w:tcPr>
            <w:tcW w:type="dxa" w:w="4618"/>
            <w:vAlign w:val="center"/>
            <w:shd w:fill="D9EAF7"/>
          </w:tcPr>
          <w:p>
            <w:pPr>
              <w:jc w:val="center"/>
            </w:pPr>
            <w:r/>
            <w:r>
              <w:rPr>
                <w:rFonts w:ascii="宋体" w:hAnsi="宋体" w:eastAsia="宋体"/>
                <w:b/>
                <w:sz w:val="18"/>
              </w:rPr>
              <w:t>平均轮廓系数</w:t>
            </w:r>
          </w:p>
        </w:tc>
      </w:tr>
      <w:tr>
        <w:tc>
          <w:tcPr>
            <w:tcW w:type="dxa" w:w="4618"/>
            <w:vAlign w:val="center"/>
          </w:tcPr>
          <w:p>
            <w:pPr>
              <w:jc w:val="center"/>
            </w:pPr>
            <w:r/>
            <w:r>
              <w:rPr>
                <w:rFonts w:ascii="宋体" w:hAnsi="宋体" w:eastAsia="宋体"/>
                <w:b w:val="0"/>
                <w:sz w:val="18"/>
              </w:rPr>
              <w:t>2</w:t>
            </w:r>
          </w:p>
        </w:tc>
        <w:tc>
          <w:tcPr>
            <w:tcW w:type="dxa" w:w="4618"/>
            <w:vAlign w:val="center"/>
          </w:tcPr>
          <w:p>
            <w:pPr>
              <w:jc w:val="center"/>
            </w:pPr>
            <w:r/>
            <w:r>
              <w:rPr>
                <w:rFonts w:ascii="宋体" w:hAnsi="宋体" w:eastAsia="宋体"/>
                <w:b w:val="0"/>
                <w:sz w:val="18"/>
              </w:rPr>
              <w:t>0.8421</w:t>
            </w:r>
          </w:p>
        </w:tc>
      </w:tr>
      <w:tr>
        <w:tc>
          <w:tcPr>
            <w:tcW w:type="dxa" w:w="4618"/>
            <w:vAlign w:val="center"/>
          </w:tcPr>
          <w:p>
            <w:pPr>
              <w:jc w:val="center"/>
            </w:pPr>
            <w:r/>
            <w:r>
              <w:rPr>
                <w:rFonts w:ascii="宋体" w:hAnsi="宋体" w:eastAsia="宋体"/>
                <w:b w:val="0"/>
                <w:sz w:val="18"/>
              </w:rPr>
              <w:t>3</w:t>
            </w:r>
          </w:p>
        </w:tc>
        <w:tc>
          <w:tcPr>
            <w:tcW w:type="dxa" w:w="4618"/>
            <w:vAlign w:val="center"/>
          </w:tcPr>
          <w:p>
            <w:pPr>
              <w:jc w:val="center"/>
            </w:pPr>
            <w:r/>
            <w:r>
              <w:rPr>
                <w:rFonts w:ascii="宋体" w:hAnsi="宋体" w:eastAsia="宋体"/>
                <w:b w:val="0"/>
                <w:sz w:val="18"/>
              </w:rPr>
              <w:t>0.5010</w:t>
            </w:r>
          </w:p>
        </w:tc>
      </w:tr>
      <w:tr>
        <w:tc>
          <w:tcPr>
            <w:tcW w:type="dxa" w:w="4618"/>
            <w:vAlign w:val="center"/>
          </w:tcPr>
          <w:p>
            <w:pPr>
              <w:jc w:val="center"/>
            </w:pPr>
            <w:r/>
            <w:r>
              <w:rPr>
                <w:rFonts w:ascii="宋体" w:hAnsi="宋体" w:eastAsia="宋体"/>
                <w:b w:val="0"/>
                <w:sz w:val="18"/>
              </w:rPr>
              <w:t>4</w:t>
            </w:r>
          </w:p>
        </w:tc>
        <w:tc>
          <w:tcPr>
            <w:tcW w:type="dxa" w:w="4618"/>
            <w:vAlign w:val="center"/>
          </w:tcPr>
          <w:p>
            <w:pPr>
              <w:jc w:val="center"/>
            </w:pPr>
            <w:r/>
            <w:r>
              <w:rPr>
                <w:rFonts w:ascii="宋体" w:hAnsi="宋体" w:eastAsia="宋体"/>
                <w:b w:val="0"/>
                <w:sz w:val="18"/>
              </w:rPr>
              <w:t>0.6554</w:t>
            </w:r>
          </w:p>
        </w:tc>
      </w:tr>
      <w:tr>
        <w:tc>
          <w:tcPr>
            <w:tcW w:type="dxa" w:w="4618"/>
            <w:vAlign w:val="center"/>
          </w:tcPr>
          <w:p>
            <w:pPr>
              <w:jc w:val="center"/>
            </w:pPr>
            <w:r/>
            <w:r>
              <w:rPr>
                <w:rFonts w:ascii="宋体" w:hAnsi="宋体" w:eastAsia="宋体"/>
                <w:b w:val="0"/>
                <w:sz w:val="18"/>
              </w:rPr>
              <w:t>5</w:t>
            </w:r>
          </w:p>
        </w:tc>
        <w:tc>
          <w:tcPr>
            <w:tcW w:type="dxa" w:w="4618"/>
            <w:vAlign w:val="center"/>
          </w:tcPr>
          <w:p>
            <w:pPr>
              <w:jc w:val="center"/>
            </w:pPr>
            <w:r/>
            <w:r>
              <w:rPr>
                <w:rFonts w:ascii="宋体" w:hAnsi="宋体" w:eastAsia="宋体"/>
                <w:b w:val="0"/>
                <w:sz w:val="18"/>
              </w:rPr>
              <w:t>0.6740</w:t>
            </w:r>
          </w:p>
        </w:tc>
      </w:tr>
      <w:tr>
        <w:tc>
          <w:tcPr>
            <w:tcW w:type="dxa" w:w="4618"/>
            <w:vAlign w:val="center"/>
          </w:tcPr>
          <w:p>
            <w:pPr>
              <w:jc w:val="center"/>
            </w:pPr>
            <w:r/>
            <w:r>
              <w:rPr>
                <w:rFonts w:ascii="宋体" w:hAnsi="宋体" w:eastAsia="宋体"/>
                <w:b w:val="0"/>
                <w:sz w:val="18"/>
              </w:rPr>
              <w:t>6</w:t>
            </w:r>
          </w:p>
        </w:tc>
        <w:tc>
          <w:tcPr>
            <w:tcW w:type="dxa" w:w="4618"/>
            <w:vAlign w:val="center"/>
          </w:tcPr>
          <w:p>
            <w:pPr>
              <w:jc w:val="center"/>
            </w:pPr>
            <w:r/>
            <w:r>
              <w:rPr>
                <w:rFonts w:ascii="宋体" w:hAnsi="宋体" w:eastAsia="宋体"/>
                <w:b w:val="0"/>
                <w:sz w:val="18"/>
              </w:rPr>
              <w:t>0.3349</w:t>
            </w:r>
          </w:p>
        </w:tc>
      </w:tr>
    </w:tbl>
    <w:p/>
    <w:p>
      <w:pPr>
        <w:spacing w:line="360" w:lineRule="auto" w:after="80"/>
        <w:ind w:firstLine="480"/>
      </w:pPr>
      <w:r>
        <w:rPr>
          <w:rFonts w:ascii="宋体" w:hAnsi="宋体" w:eastAsia="宋体"/>
          <w:sz w:val="22"/>
        </w:rPr>
        <w:t>从统计指标上看，K = 2 时轮廓系数最高，说明二分类能够获得较好的簇内紧密性和簇间分离度。但从工程解释性角度看，K = 2 过于粗略，难以充分区分工作日、周末、高客流和低客流等不同运行模式。K = 4 时轮廓系数达到 0.6554，已具有较好的聚类质量，同时能够形成更具工程意义的四类典型模式，因此本文最终采用 K = 4 作为典型负荷模式划分结果。</w:t>
      </w:r>
    </w:p>
    <w:p>
      <w:pPr>
        <w:spacing w:line="360" w:lineRule="auto" w:after="80"/>
        <w:ind w:firstLine="480"/>
      </w:pPr>
      <w:r>
        <w:rPr>
          <w:rFonts w:ascii="宋体" w:hAnsi="宋体" w:eastAsia="宋体"/>
          <w:sz w:val="22"/>
        </w:rPr>
        <w:t>结合聚类结果，站台区域日负荷曲线可概括为四类典型模式：</w:t>
      </w:r>
    </w:p>
    <w:p>
      <w:pPr>
        <w:spacing w:line="360" w:lineRule="auto"/>
        <w:ind w:left="360"/>
      </w:pPr>
      <w:r>
        <w:rPr>
          <w:rFonts w:ascii="宋体" w:hAnsi="宋体" w:eastAsia="宋体"/>
          <w:sz w:val="22"/>
        </w:rPr>
        <w:t>1. 工作日双峰高负荷型；</w:t>
      </w:r>
    </w:p>
    <w:p>
      <w:pPr>
        <w:spacing w:line="360" w:lineRule="auto"/>
        <w:ind w:left="360"/>
      </w:pPr>
      <w:r>
        <w:rPr>
          <w:rFonts w:ascii="宋体" w:hAnsi="宋体" w:eastAsia="宋体"/>
          <w:sz w:val="22"/>
        </w:rPr>
        <w:t>2. 工作日平稳中负荷型；</w:t>
      </w:r>
    </w:p>
    <w:p>
      <w:pPr>
        <w:spacing w:line="360" w:lineRule="auto"/>
        <w:ind w:left="360"/>
      </w:pPr>
      <w:r>
        <w:rPr>
          <w:rFonts w:ascii="宋体" w:hAnsi="宋体" w:eastAsia="宋体"/>
          <w:sz w:val="22"/>
        </w:rPr>
        <w:t>3. 周末午后单峰型；</w:t>
      </w:r>
    </w:p>
    <w:p>
      <w:pPr>
        <w:spacing w:line="360" w:lineRule="auto"/>
        <w:ind w:left="360"/>
      </w:pPr>
      <w:r>
        <w:rPr>
          <w:rFonts w:ascii="宋体" w:hAnsi="宋体" w:eastAsia="宋体"/>
          <w:sz w:val="22"/>
        </w:rPr>
        <w:t>4. 低客流低负荷型。</w:t>
      </w:r>
    </w:p>
    <w:p>
      <w:pPr>
        <w:spacing w:line="360" w:lineRule="auto" w:after="80"/>
        <w:ind w:firstLine="480"/>
      </w:pPr>
      <w:r>
        <w:rPr>
          <w:rFonts w:ascii="宋体" w:hAnsi="宋体" w:eastAsia="宋体"/>
          <w:sz w:val="22"/>
        </w:rPr>
        <w:t>上述聚类结果表明，不同日期的负荷变化具有明显的时间结构和运行场景差异。将聚类标签引入后续负荷预测模型，有助于增强模型对不同负荷模式的识别能力。</w:t>
      </w:r>
    </w:p>
    <w:p>
      <w:pPr>
        <w:pStyle w:val="Heading2"/>
      </w:pPr>
      <w:r>
        <w:t>3.6 本章小结</w:t>
      </w:r>
    </w:p>
    <w:p>
      <w:pPr>
        <w:spacing w:line="360" w:lineRule="auto" w:after="80"/>
        <w:ind w:firstLine="480"/>
      </w:pPr>
      <w:r>
        <w:rPr>
          <w:rFonts w:ascii="宋体" w:hAnsi="宋体" w:eastAsia="宋体"/>
          <w:sz w:val="22"/>
        </w:rPr>
        <w:t>本章基于福州地铁东街口站 2025 年 7 月的 15 分钟粒度运行数据，对站台区域通风空调系统负荷进行了预处理和特性分析。首先完成了数据清洗、时间对齐、缺失值填补和标准化处理，并构造了滞后负荷与时间特征。随后利用 Pearson 相关系数筛选出进站客流、出站客流、站台在岗人数、室外温度、站台温度、二氧化碳浓度和历史负荷等关键影响因素。进一步的负荷分项分解表明，围护结构负荷和设备散热负荷是总负荷的主要组成部分。最后，通过 K-Means 聚类识别出四类典型负荷模式，为下一章负荷预测模型构建和特征输入设计提供了依据。</w:t>
      </w:r>
    </w:p>
    <w:p>
      <w:pPr>
        <w:pStyle w:val="Heading1"/>
      </w:pPr>
      <w:r>
        <w:t>第4章 基于 LSTM 的地铁车站空调负荷预测模型</w:t>
      </w:r>
    </w:p>
    <w:p>
      <w:pPr>
        <w:pStyle w:val="Heading2"/>
      </w:pPr>
      <w:r>
        <w:t>4.1 负荷预测问题描述</w:t>
      </w:r>
    </w:p>
    <w:p>
      <w:pPr>
        <w:spacing w:line="360" w:lineRule="auto" w:after="80"/>
        <w:ind w:firstLine="480"/>
      </w:pPr>
      <w:r>
        <w:t>地铁车站通风空调系统容量配置优化的关键前提，是获得能够代表实际运行需求的负荷序列。预测负荷偏高时，后续优化会继续继承传统设计中的容量冗余，难以体现数据驱动优化的价值；预测负荷偏低时，虽然可得到较小装机容量和较低成本，但可能削弱高峰工况下的热舒适性、空气品质和设备运行安全。因此，第4章负荷预测并非孤立的算法比较，而是容量优化模型的前置边界条件，其精度、峰值保持能力和误差可解释性直接影响第5章设备容量配置结果的可信度。</w:t>
      </w:r>
    </w:p>
    <w:p>
      <w:pPr>
        <w:spacing w:line="360" w:lineRule="auto" w:after="80"/>
        <w:ind w:firstLine="480"/>
      </w:pPr>
      <w:r>
        <w:t>本文以站台区域总冷负荷 total_cooling_load_kw 作为预测目标，以第三章筛选得到的客流、气象、站内环境、历史负荷和时间周期特征作为模型输入。由于地铁车站负荷受乘客流动、围护结构蓄热、设备启停和新风处理过程共同影响，当前时刻负荷不仅取决于当前外部条件，也与前若干时段运行状态存在强相关关系。基于这一特点，本文采用 LSTM 神经网络刻画负荷序列的短期惯性和滞后响应，并以 BP 神经网络作为静态非线性基准模型，以检验引入时序记忆结构后的改进效果。</w:t>
      </w:r>
    </w:p>
    <w:p>
      <w:pPr>
        <w:spacing w:line="360" w:lineRule="auto" w:after="80"/>
        <w:ind w:firstLine="480"/>
      </w:pPr>
      <w:r>
        <w:rPr>
          <w:rFonts w:ascii="宋体" w:hAnsi="宋体" w:eastAsia="宋体"/>
          <w:sz w:val="22"/>
        </w:rPr>
        <w:t>数据集按照时间顺序划分为训练集、验证集和测试集，比例为 7:2:1。其中，训练集用于模型参数学习，验证集用于训练过程中的模型选择和早停判断，测试集用于评价模型泛化能力。按时间顺序划分可以避免未来数据泄露到历史训练过程中，更符合实际负荷预测应用场景。</w:t>
      </w:r>
    </w:p>
    <w:p>
      <w:r>
        <w:t>负荷预测任务可形式化表示为：给定过去 T 个时刻的多维特征序列 X_t = [x_{t-T+1}, x_{t-T+2}, ..., x_t]，预测下一时刻站台区域总冷负荷 y_{t+1}。其中，x_t 为第 t 个采样时刻的输入特征向量，T 为序列窗口长度，y_{t+1} 为待预测负荷。本文数据采样间隔为 15 min，当 T = 16 时，模型输入覆盖过去 4 h 运行状态。</w:t>
      </w:r>
    </w:p>
    <w:p>
      <w:r>
        <w:t>该建模方式的工程含义在于：模型并不是只根据某一时刻的客流或气象条件给出瞬时负荷，而是综合利用近期负荷演化轨迹判断系统热惯性和高峰转换趋势。对于容量配置问题，这种处理有助于降低单点异常数据对设备选型的干扰，同时保留高负荷时段的连续变化特征。</w:t>
      </w:r>
    </w:p>
    <w:p>
      <w:pPr>
        <w:pStyle w:val="Heading2"/>
      </w:pPr>
      <w:r>
        <w:t>4.2 预测输入特征构建</w:t>
      </w:r>
    </w:p>
    <w:p>
      <w:pPr>
        <w:spacing w:before="160" w:after="160"/>
        <w:jc w:val="center"/>
      </w:pPr>
      <w:r>
        <w:rPr>
          <w:rFonts w:ascii="宋体" w:hAnsi="宋体" w:eastAsia="宋体"/>
          <w:b/>
          <w:color w:val="505050"/>
          <w:sz w:val="21"/>
        </w:rPr>
        <w:t>【图4-1 预测样本构造示意图：连续16个时间步多维输入 → 下一时刻总冷负荷】</w:t>
      </w:r>
    </w:p>
    <w:p>
      <w:pPr>
        <w:spacing w:line="360" w:lineRule="auto" w:after="80"/>
        <w:ind w:firstLine="480"/>
      </w:pPr>
      <w:r>
        <w:rPr>
          <w:rFonts w:ascii="宋体" w:hAnsi="宋体" w:eastAsia="宋体"/>
          <w:sz w:val="22"/>
        </w:rPr>
        <w:t>本文选取 16 个时间步作为 LSTM 输入序列长度，对应 4 小时历史窗口。该设置可以覆盖地铁车站早晚高峰变化前后的局部动态过程，同时避免序列过长导致模型训练复杂度过高。若后续引入全年数据，可进一步通过验证集比较不同序列长度的预测效果。</w:t>
      </w:r>
    </w:p>
    <w:p>
      <w:pPr>
        <w:spacing w:line="360" w:lineRule="auto" w:after="80"/>
        <w:ind w:firstLine="480"/>
      </w:pPr>
      <w:r>
        <w:rPr>
          <w:rFonts w:ascii="宋体" w:hAnsi="宋体" w:eastAsia="宋体"/>
          <w:sz w:val="22"/>
        </w:rPr>
        <w:t>根据第三章的相关性分析结果，本文选取与总冷负荷相关性较高的变量作为预测输入。输入特征主要包括四类。</w:t>
      </w:r>
    </w:p>
    <w:p>
      <w:pPr>
        <w:spacing w:line="360" w:lineRule="auto" w:after="80"/>
        <w:ind w:firstLine="480"/>
      </w:pPr>
      <w:r>
        <w:rPr>
          <w:rFonts w:ascii="宋体" w:hAnsi="宋体" w:eastAsia="宋体"/>
          <w:sz w:val="22"/>
        </w:rPr>
        <w:t>第一类为客流特征，包括进站客流 entry_flow、出站客流 exit_flow 和站台在岗人数 platform_passengers。该类变量用于描述乘客活动强度，是人员负荷和新风需求的重要影响因素。</w:t>
      </w:r>
    </w:p>
    <w:p>
      <w:pPr>
        <w:spacing w:line="360" w:lineRule="auto" w:after="80"/>
        <w:ind w:firstLine="480"/>
      </w:pPr>
      <w:r>
        <w:rPr>
          <w:rFonts w:ascii="宋体" w:hAnsi="宋体" w:eastAsia="宋体"/>
          <w:sz w:val="22"/>
        </w:rPr>
        <w:t>第二类为环境特征，包括室外温度 outdoor_temp、室外相对湿度 outdoor_rh、太阳辐射 solar_radiation、站台温度 platform_temp、站台相对湿度 platform_rh 和二氧化碳浓度 co2。这类变量用于反映外部气象条件和站内环境状态。</w:t>
      </w:r>
    </w:p>
    <w:p>
      <w:pPr>
        <w:spacing w:line="360" w:lineRule="auto" w:after="80"/>
        <w:ind w:firstLine="480"/>
      </w:pPr>
      <w:r>
        <w:rPr>
          <w:rFonts w:ascii="宋体" w:hAnsi="宋体" w:eastAsia="宋体"/>
          <w:sz w:val="22"/>
        </w:rPr>
        <w:t>第三类为历史负荷特征，包括 load_lag_1、load_lag_4、load_lag_8 和 load_lag_96。其中，load_lag_1 表示前 15 分钟负荷，load_lag_4 表示前 1 小时负荷，load_lag_8 表示前 2 小时负荷，load_lag_96 表示前 1 天同一时刻负荷。引入滞后负荷项可以体现系统热惯性、设备运行惯性和负荷周期性。</w:t>
      </w:r>
    </w:p>
    <w:p>
      <w:pPr>
        <w:spacing w:line="360" w:lineRule="auto" w:after="80"/>
        <w:ind w:firstLine="480"/>
      </w:pPr>
      <w:r>
        <w:rPr>
          <w:rFonts w:ascii="宋体" w:hAnsi="宋体" w:eastAsia="宋体"/>
          <w:sz w:val="22"/>
        </w:rPr>
        <w:t>第四类为时间特征，包括 hour_decimal、is_weekend_numeric、hour_sin、hour_cos、day_sin 和 day_cos。为避免小时和星期等周期变量在数值编码上出现不连续问题，本文采用正余弦编码表示日周期和周周期变化。</w:t>
      </w:r>
    </w:p>
    <w:p>
      <w:pPr>
        <w:spacing w:line="360" w:lineRule="auto" w:after="80"/>
        <w:ind w:firstLine="480"/>
      </w:pPr>
      <w:r>
        <w:rPr>
          <w:rFonts w:ascii="宋体" w:hAnsi="宋体" w:eastAsia="宋体"/>
          <w:sz w:val="22"/>
        </w:rPr>
        <w:t>所有连续输入变量在建模前均进行 Z-Score 标准化处理，以消除不同量纲和取值范围对模型训练的影响。目标变量总冷负荷保持实际物理量单位 kW，用于后续评价指标计算和工程解释。</w:t>
      </w:r>
    </w:p>
    <w:p>
      <w:r>
        <w:t>连续特征标准化公式为：x'_i = (x_i - μ_x) / σ_x。式中，x_i 为原始特征值，μ_x 和 σ_x 分别为训练集对应特征的均值和标准差，x'_i 为标准化后的输入值。为避免测试集信息泄露，均值和标准差仅由训练集计算，再用于验证集和测试集转换。</w:t>
      </w:r>
    </w:p>
    <w:p>
      <w:r>
        <w:t>对于周期性时间变量，本文不直接采用小时数或日期序号，而使用 sin-cos 编码。例如 hour_sin = sin(2πh/24)，hour_cos = cos(2πh/24)。这样可以保持 23:45 与 00:00 在数值空间中的邻近关系，避免普通整数编码造成周期边界不连续。</w:t>
      </w:r>
    </w:p>
    <w:p>
      <w:pPr>
        <w:pStyle w:val="Heading2"/>
      </w:pPr>
      <w:r>
        <w:t>4.3 LSTM 神经网络模型构建</w:t>
      </w:r>
    </w:p>
    <w:p>
      <w:pPr>
        <w:spacing w:before="160" w:after="160"/>
        <w:jc w:val="center"/>
      </w:pPr>
      <w:r>
        <w:rPr>
          <w:rFonts w:ascii="宋体" w:hAnsi="宋体" w:eastAsia="宋体"/>
          <w:b/>
          <w:color w:val="505050"/>
          <w:sz w:val="21"/>
        </w:rPr>
        <w:t>【图4-2 LSTM网络结构图：Sequence Input → LSTM(64) → LSTM(32) → Fully Connected → Regression Output】</w:t>
      </w:r>
    </w:p>
    <w:p>
      <w:pPr>
        <w:spacing w:line="360" w:lineRule="auto" w:after="80"/>
        <w:ind w:firstLine="480"/>
      </w:pPr>
      <w:r>
        <w:rPr>
          <w:rFonts w:ascii="宋体" w:hAnsi="宋体" w:eastAsia="宋体"/>
          <w:sz w:val="22"/>
        </w:rPr>
        <w:t>表4-1 LSTM模型主要训练参数</w:t>
      </w:r>
    </w:p>
    <w:tbl>
      <w:tblPr>
        <w:tblStyle w:val="TableGrid"/>
        <w:tblW w:type="auto" w:w="0"/>
        <w:jc w:val="center"/>
        <w:tblLook w:firstColumn="1" w:firstRow="1" w:lastColumn="0" w:lastRow="0" w:noHBand="0" w:noVBand="1" w:val="04A0"/>
      </w:tblPr>
      <w:tblGrid>
        <w:gridCol w:w="3079"/>
        <w:gridCol w:w="3079"/>
        <w:gridCol w:w="3079"/>
      </w:tblGrid>
      <w:tr>
        <w:tc>
          <w:tcPr>
            <w:tcW w:type="dxa" w:w="3079"/>
            <w:vAlign w:val="center"/>
            <w:shd w:fill="D9EAF7"/>
          </w:tcPr>
          <w:p>
            <w:pPr>
              <w:jc w:val="center"/>
            </w:pPr>
            <w:r/>
            <w:r>
              <w:rPr>
                <w:rFonts w:ascii="宋体" w:hAnsi="宋体" w:eastAsia="宋体"/>
                <w:b/>
                <w:sz w:val="18"/>
              </w:rPr>
              <w:t>参数</w:t>
            </w:r>
          </w:p>
        </w:tc>
        <w:tc>
          <w:tcPr>
            <w:tcW w:type="dxa" w:w="3079"/>
            <w:vAlign w:val="center"/>
            <w:shd w:fill="D9EAF7"/>
          </w:tcPr>
          <w:p>
            <w:pPr>
              <w:jc w:val="center"/>
            </w:pPr>
            <w:r/>
            <w:r>
              <w:rPr>
                <w:rFonts w:ascii="宋体" w:hAnsi="宋体" w:eastAsia="宋体"/>
                <w:b/>
                <w:sz w:val="18"/>
              </w:rPr>
              <w:t>取值</w:t>
            </w:r>
          </w:p>
        </w:tc>
        <w:tc>
          <w:tcPr>
            <w:tcW w:type="dxa" w:w="3079"/>
            <w:vAlign w:val="center"/>
            <w:shd w:fill="D9EAF7"/>
          </w:tcPr>
          <w:p>
            <w:pPr>
              <w:jc w:val="center"/>
            </w:pPr>
            <w:r/>
            <w:r>
              <w:rPr>
                <w:rFonts w:ascii="宋体" w:hAnsi="宋体" w:eastAsia="宋体"/>
                <w:b/>
                <w:sz w:val="18"/>
              </w:rPr>
              <w:t>说明</w:t>
            </w:r>
          </w:p>
        </w:tc>
      </w:tr>
      <w:tr>
        <w:tc>
          <w:tcPr>
            <w:tcW w:type="dxa" w:w="3079"/>
            <w:vAlign w:val="center"/>
          </w:tcPr>
          <w:p>
            <w:pPr>
              <w:jc w:val="center"/>
            </w:pPr>
            <w:r/>
            <w:r>
              <w:rPr>
                <w:rFonts w:ascii="宋体" w:hAnsi="宋体" w:eastAsia="宋体"/>
                <w:b w:val="0"/>
                <w:sz w:val="18"/>
              </w:rPr>
              <w:t>输入序列长度</w:t>
            </w:r>
          </w:p>
        </w:tc>
        <w:tc>
          <w:tcPr>
            <w:tcW w:type="dxa" w:w="3079"/>
            <w:vAlign w:val="center"/>
          </w:tcPr>
          <w:p>
            <w:pPr>
              <w:jc w:val="center"/>
            </w:pPr>
            <w:r/>
            <w:r>
              <w:rPr>
                <w:rFonts w:ascii="宋体" w:hAnsi="宋体" w:eastAsia="宋体"/>
                <w:b w:val="0"/>
                <w:sz w:val="18"/>
              </w:rPr>
              <w:t>16</w:t>
            </w:r>
          </w:p>
        </w:tc>
        <w:tc>
          <w:tcPr>
            <w:tcW w:type="dxa" w:w="3079"/>
            <w:vAlign w:val="center"/>
          </w:tcPr>
          <w:p>
            <w:pPr>
              <w:jc w:val="center"/>
            </w:pPr>
            <w:r/>
            <w:r>
              <w:rPr>
                <w:rFonts w:ascii="宋体" w:hAnsi="宋体" w:eastAsia="宋体"/>
                <w:b w:val="0"/>
                <w:sz w:val="18"/>
              </w:rPr>
              <w:t>对应4小时历史信息</w:t>
            </w:r>
          </w:p>
        </w:tc>
      </w:tr>
      <w:tr>
        <w:tc>
          <w:tcPr>
            <w:tcW w:type="dxa" w:w="3079"/>
            <w:vAlign w:val="center"/>
          </w:tcPr>
          <w:p>
            <w:pPr>
              <w:jc w:val="center"/>
            </w:pPr>
            <w:r/>
            <w:r>
              <w:rPr>
                <w:rFonts w:ascii="宋体" w:hAnsi="宋体" w:eastAsia="宋体"/>
                <w:b w:val="0"/>
                <w:sz w:val="18"/>
              </w:rPr>
              <w:t>第一层LSTM单元数</w:t>
            </w:r>
          </w:p>
        </w:tc>
        <w:tc>
          <w:tcPr>
            <w:tcW w:type="dxa" w:w="3079"/>
            <w:vAlign w:val="center"/>
          </w:tcPr>
          <w:p>
            <w:pPr>
              <w:jc w:val="center"/>
            </w:pPr>
            <w:r/>
            <w:r>
              <w:rPr>
                <w:rFonts w:ascii="宋体" w:hAnsi="宋体" w:eastAsia="宋体"/>
                <w:b w:val="0"/>
                <w:sz w:val="18"/>
              </w:rPr>
              <w:t>64</w:t>
            </w:r>
          </w:p>
        </w:tc>
        <w:tc>
          <w:tcPr>
            <w:tcW w:type="dxa" w:w="3079"/>
            <w:vAlign w:val="center"/>
          </w:tcPr>
          <w:p>
            <w:pPr>
              <w:jc w:val="center"/>
            </w:pPr>
            <w:r/>
            <w:r>
              <w:rPr>
                <w:rFonts w:ascii="宋体" w:hAnsi="宋体" w:eastAsia="宋体"/>
                <w:b w:val="0"/>
                <w:sz w:val="18"/>
              </w:rPr>
              <w:t>提取主要时序特征</w:t>
            </w:r>
          </w:p>
        </w:tc>
      </w:tr>
      <w:tr>
        <w:tc>
          <w:tcPr>
            <w:tcW w:type="dxa" w:w="3079"/>
            <w:vAlign w:val="center"/>
          </w:tcPr>
          <w:p>
            <w:pPr>
              <w:jc w:val="center"/>
            </w:pPr>
            <w:r/>
            <w:r>
              <w:rPr>
                <w:rFonts w:ascii="宋体" w:hAnsi="宋体" w:eastAsia="宋体"/>
                <w:b w:val="0"/>
                <w:sz w:val="18"/>
              </w:rPr>
              <w:t>第二层LSTM单元数</w:t>
            </w:r>
          </w:p>
        </w:tc>
        <w:tc>
          <w:tcPr>
            <w:tcW w:type="dxa" w:w="3079"/>
            <w:vAlign w:val="center"/>
          </w:tcPr>
          <w:p>
            <w:pPr>
              <w:jc w:val="center"/>
            </w:pPr>
            <w:r/>
            <w:r>
              <w:rPr>
                <w:rFonts w:ascii="宋体" w:hAnsi="宋体" w:eastAsia="宋体"/>
                <w:b w:val="0"/>
                <w:sz w:val="18"/>
              </w:rPr>
              <w:t>32</w:t>
            </w:r>
          </w:p>
        </w:tc>
        <w:tc>
          <w:tcPr>
            <w:tcW w:type="dxa" w:w="3079"/>
            <w:vAlign w:val="center"/>
          </w:tcPr>
          <w:p>
            <w:pPr>
              <w:jc w:val="center"/>
            </w:pPr>
            <w:r/>
            <w:r>
              <w:rPr>
                <w:rFonts w:ascii="宋体" w:hAnsi="宋体" w:eastAsia="宋体"/>
                <w:b w:val="0"/>
                <w:sz w:val="18"/>
              </w:rPr>
              <w:t>输出最终时序状态</w:t>
            </w:r>
          </w:p>
        </w:tc>
      </w:tr>
      <w:tr>
        <w:tc>
          <w:tcPr>
            <w:tcW w:type="dxa" w:w="3079"/>
            <w:vAlign w:val="center"/>
          </w:tcPr>
          <w:p>
            <w:pPr>
              <w:jc w:val="center"/>
            </w:pPr>
            <w:r/>
            <w:r>
              <w:rPr>
                <w:rFonts w:ascii="宋体" w:hAnsi="宋体" w:eastAsia="宋体"/>
                <w:b w:val="0"/>
                <w:sz w:val="18"/>
              </w:rPr>
              <w:t>最大训练轮数</w:t>
            </w:r>
          </w:p>
        </w:tc>
        <w:tc>
          <w:tcPr>
            <w:tcW w:type="dxa" w:w="3079"/>
            <w:vAlign w:val="center"/>
          </w:tcPr>
          <w:p>
            <w:pPr>
              <w:jc w:val="center"/>
            </w:pPr>
            <w:r/>
            <w:r>
              <w:rPr>
                <w:rFonts w:ascii="宋体" w:hAnsi="宋体" w:eastAsia="宋体"/>
                <w:b w:val="0"/>
                <w:sz w:val="18"/>
              </w:rPr>
              <w:t>60</w:t>
            </w:r>
          </w:p>
        </w:tc>
        <w:tc>
          <w:tcPr>
            <w:tcW w:type="dxa" w:w="3079"/>
            <w:vAlign w:val="center"/>
          </w:tcPr>
          <w:p>
            <w:pPr>
              <w:jc w:val="center"/>
            </w:pPr>
            <w:r/>
            <w:r>
              <w:rPr>
                <w:rFonts w:ascii="宋体" w:hAnsi="宋体" w:eastAsia="宋体"/>
                <w:b w:val="0"/>
                <w:sz w:val="18"/>
              </w:rPr>
              <w:t>控制训练上限</w:t>
            </w:r>
          </w:p>
        </w:tc>
      </w:tr>
      <w:tr>
        <w:tc>
          <w:tcPr>
            <w:tcW w:type="dxa" w:w="3079"/>
            <w:vAlign w:val="center"/>
          </w:tcPr>
          <w:p>
            <w:pPr>
              <w:jc w:val="center"/>
            </w:pPr>
            <w:r/>
            <w:r>
              <w:rPr>
                <w:rFonts w:ascii="宋体" w:hAnsi="宋体" w:eastAsia="宋体"/>
                <w:b w:val="0"/>
                <w:sz w:val="18"/>
              </w:rPr>
              <w:t>批量大小</w:t>
            </w:r>
          </w:p>
        </w:tc>
        <w:tc>
          <w:tcPr>
            <w:tcW w:type="dxa" w:w="3079"/>
            <w:vAlign w:val="center"/>
          </w:tcPr>
          <w:p>
            <w:pPr>
              <w:jc w:val="center"/>
            </w:pPr>
            <w:r/>
            <w:r>
              <w:rPr>
                <w:rFonts w:ascii="宋体" w:hAnsi="宋体" w:eastAsia="宋体"/>
                <w:b w:val="0"/>
                <w:sz w:val="18"/>
              </w:rPr>
              <w:t>64</w:t>
            </w:r>
          </w:p>
        </w:tc>
        <w:tc>
          <w:tcPr>
            <w:tcW w:type="dxa" w:w="3079"/>
            <w:vAlign w:val="center"/>
          </w:tcPr>
          <w:p>
            <w:pPr>
              <w:jc w:val="center"/>
            </w:pPr>
            <w:r/>
            <w:r>
              <w:rPr>
                <w:rFonts w:ascii="宋体" w:hAnsi="宋体" w:eastAsia="宋体"/>
                <w:b w:val="0"/>
                <w:sz w:val="18"/>
              </w:rPr>
              <w:t>小批量训练</w:t>
            </w:r>
          </w:p>
        </w:tc>
      </w:tr>
      <w:tr>
        <w:tc>
          <w:tcPr>
            <w:tcW w:type="dxa" w:w="3079"/>
            <w:vAlign w:val="center"/>
          </w:tcPr>
          <w:p>
            <w:pPr>
              <w:jc w:val="center"/>
            </w:pPr>
            <w:r/>
            <w:r>
              <w:rPr>
                <w:rFonts w:ascii="宋体" w:hAnsi="宋体" w:eastAsia="宋体"/>
                <w:b w:val="0"/>
                <w:sz w:val="18"/>
              </w:rPr>
              <w:t>初始学习率</w:t>
            </w:r>
          </w:p>
        </w:tc>
        <w:tc>
          <w:tcPr>
            <w:tcW w:type="dxa" w:w="3079"/>
            <w:vAlign w:val="center"/>
          </w:tcPr>
          <w:p>
            <w:pPr>
              <w:jc w:val="center"/>
            </w:pPr>
            <w:r/>
            <w:r>
              <w:rPr>
                <w:rFonts w:ascii="宋体" w:hAnsi="宋体" w:eastAsia="宋体"/>
                <w:b w:val="0"/>
                <w:sz w:val="18"/>
              </w:rPr>
              <w:t>0.001</w:t>
            </w:r>
          </w:p>
        </w:tc>
        <w:tc>
          <w:tcPr>
            <w:tcW w:type="dxa" w:w="3079"/>
            <w:vAlign w:val="center"/>
          </w:tcPr>
          <w:p>
            <w:pPr>
              <w:jc w:val="center"/>
            </w:pPr>
            <w:r/>
            <w:r>
              <w:rPr>
                <w:rFonts w:ascii="宋体" w:hAnsi="宋体" w:eastAsia="宋体"/>
                <w:b w:val="0"/>
                <w:sz w:val="18"/>
              </w:rPr>
              <w:t>Adam优化器参数</w:t>
            </w:r>
          </w:p>
        </w:tc>
      </w:tr>
      <w:tr>
        <w:tc>
          <w:tcPr>
            <w:tcW w:type="dxa" w:w="3079"/>
            <w:vAlign w:val="center"/>
          </w:tcPr>
          <w:p>
            <w:pPr>
              <w:jc w:val="center"/>
            </w:pPr>
            <w:r/>
            <w:r>
              <w:rPr>
                <w:rFonts w:ascii="宋体" w:hAnsi="宋体" w:eastAsia="宋体"/>
                <w:b w:val="0"/>
                <w:sz w:val="18"/>
              </w:rPr>
              <w:t>训练/验证/测试比例</w:t>
            </w:r>
          </w:p>
        </w:tc>
        <w:tc>
          <w:tcPr>
            <w:tcW w:type="dxa" w:w="3079"/>
            <w:vAlign w:val="center"/>
          </w:tcPr>
          <w:p>
            <w:pPr>
              <w:jc w:val="center"/>
            </w:pPr>
            <w:r/>
            <w:r>
              <w:rPr>
                <w:rFonts w:ascii="宋体" w:hAnsi="宋体" w:eastAsia="宋体"/>
                <w:b w:val="0"/>
                <w:sz w:val="18"/>
              </w:rPr>
              <w:t>7:2:1</w:t>
            </w:r>
          </w:p>
        </w:tc>
        <w:tc>
          <w:tcPr>
            <w:tcW w:type="dxa" w:w="3079"/>
            <w:vAlign w:val="center"/>
          </w:tcPr>
          <w:p>
            <w:pPr>
              <w:jc w:val="center"/>
            </w:pPr>
            <w:r/>
            <w:r>
              <w:rPr>
                <w:rFonts w:ascii="宋体" w:hAnsi="宋体" w:eastAsia="宋体"/>
                <w:b w:val="0"/>
                <w:sz w:val="18"/>
              </w:rPr>
              <w:t>按时间顺序划分</w:t>
            </w:r>
          </w:p>
        </w:tc>
      </w:tr>
    </w:tbl>
    <w:p/>
    <w:p>
      <w:pPr>
        <w:spacing w:line="360" w:lineRule="auto" w:after="80"/>
        <w:ind w:firstLine="480"/>
      </w:pPr>
      <w:r>
        <w:rPr>
          <w:rFonts w:ascii="宋体" w:hAnsi="宋体" w:eastAsia="宋体"/>
          <w:sz w:val="22"/>
        </w:rPr>
        <w:t>LSTM 是循环神经网络的一种改进结构，能够通过输入门、遗忘门和输出门控制历史信息的保留与更新，适合处理具有时间依赖关系的序列预测问题。与普通前馈神经网络相比，LSTM 能够利用前序时刻的状态信息，对负荷序列中的短期波动和长期规律进行建模。</w:t>
      </w:r>
    </w:p>
    <w:p>
      <w:r>
        <w:t>LSTM 单元的核心计算可概括为：f_t = σ(W_f[h_{t-1}, x_t] + b_f)，i_t = σ(W_i[h_{t-1}, x_t] + b_i)，C_t = f_t ⊙ C_{t-1} + i_t ⊙ tanh(W_c[h_{t-1}, x_t] + b_c)，o_t = σ(W_o[h_{t-1}, x_t] + b_o)，h_t = o_t ⊙ tanh(C_t)。式中，f_t、i_t、o_t 分别为遗忘门、输入门和输出门，C_t 为单元状态，h_t 为隐含状态，σ 为 Sigmoid 函数，⊙ 表示逐元素乘法。</w:t>
      </w:r>
    </w:p>
    <w:p>
      <w:r>
        <w:t>从工程解释看，遗忘门用于判断早前负荷状态对当前预测是否仍有参考价值，输入门用于吸收当前客流和环境变化带来的新增信息，输出门用于形成下一时刻负荷预测所需的有效状态表达。因此，LSTM 更适合描述地铁车站负荷中“高峰持续、热惯性滞后、客流突变后逐步响应”等动态过程。</w:t>
      </w:r>
    </w:p>
    <w:p>
      <w:pPr>
        <w:spacing w:line="360" w:lineRule="auto" w:after="80"/>
        <w:ind w:firstLine="480"/>
      </w:pPr>
      <w:r>
        <w:t>本文构建的 LSTM 预测模型采用“多变量序列输入、单步负荷输出”的结构。每个样本由连续 16 个时间步组成，由于数据时间粒度为 15 min，一个输入序列覆盖 4 h 历史信息。模型根据该时间窗内的多维特征序列预测下一时刻站台区域总冷负荷，从而兼顾短时客流波动、气象变化滞后和系统热惯性的综合影响。</w:t>
      </w:r>
    </w:p>
    <w:p>
      <w:pPr>
        <w:spacing w:line="360" w:lineRule="auto" w:after="80"/>
        <w:ind w:firstLine="480"/>
      </w:pPr>
      <w:r>
        <w:rPr>
          <w:rFonts w:ascii="宋体" w:hAnsi="宋体" w:eastAsia="宋体"/>
          <w:sz w:val="22"/>
        </w:rPr>
        <w:t>模型结构如下：</w:t>
      </w:r>
    </w:p>
    <w:p>
      <w:pPr>
        <w:spacing w:line="360" w:lineRule="auto"/>
        <w:ind w:left="360"/>
      </w:pPr>
      <w:r>
        <w:rPr>
          <w:rFonts w:ascii="宋体" w:hAnsi="宋体" w:eastAsia="宋体"/>
          <w:sz w:val="22"/>
        </w:rPr>
        <w:t>1. 序列输入层：输入维度为筛选后的特征数量；</w:t>
      </w:r>
    </w:p>
    <w:p>
      <w:pPr>
        <w:spacing w:line="360" w:lineRule="auto"/>
        <w:ind w:left="360"/>
      </w:pPr>
      <w:r>
        <w:rPr>
          <w:rFonts w:ascii="宋体" w:hAnsi="宋体" w:eastAsia="宋体"/>
          <w:sz w:val="22"/>
        </w:rPr>
        <w:t>2. 第一层 LSTM：隐藏单元数为 64，输出完整序列；</w:t>
      </w:r>
    </w:p>
    <w:p>
      <w:pPr>
        <w:spacing w:line="360" w:lineRule="auto"/>
        <w:ind w:left="360"/>
      </w:pPr>
      <w:r>
        <w:rPr>
          <w:rFonts w:ascii="宋体" w:hAnsi="宋体" w:eastAsia="宋体"/>
          <w:sz w:val="22"/>
        </w:rPr>
        <w:t>3. 第二层 LSTM：隐藏单元数为 32，输出最后一个时间步状态；</w:t>
      </w:r>
    </w:p>
    <w:p>
      <w:pPr>
        <w:spacing w:line="360" w:lineRule="auto"/>
        <w:ind w:left="360"/>
      </w:pPr>
      <w:r>
        <w:rPr>
          <w:rFonts w:ascii="宋体" w:hAnsi="宋体" w:eastAsia="宋体"/>
          <w:sz w:val="22"/>
        </w:rPr>
        <w:t>4. 全连接层：输出单一负荷预测值；</w:t>
      </w:r>
    </w:p>
    <w:p>
      <w:pPr>
        <w:spacing w:line="360" w:lineRule="auto"/>
        <w:ind w:left="360"/>
      </w:pPr>
      <w:r>
        <w:rPr>
          <w:rFonts w:ascii="宋体" w:hAnsi="宋体" w:eastAsia="宋体"/>
          <w:sz w:val="22"/>
        </w:rPr>
        <w:t>5. 回归层：计算预测值与真实值之间的误差。</w:t>
      </w:r>
    </w:p>
    <w:p>
      <w:pPr>
        <w:spacing w:line="360" w:lineRule="auto" w:after="80"/>
        <w:ind w:firstLine="480"/>
      </w:pPr>
      <w:r>
        <w:rPr>
          <w:rFonts w:ascii="宋体" w:hAnsi="宋体" w:eastAsia="宋体"/>
          <w:sz w:val="22"/>
        </w:rPr>
        <w:t>训练过程中采用 Adam 优化算法，最大训练轮数为 60，批量大小为 64，初始学习率为 0.001。为避免梯度爆炸，设置梯度阈值为 1；为提高训练稳定性，学习率采用分段下降策略，验证集若连续多轮未改善则提前停止训练。</w:t>
      </w:r>
    </w:p>
    <w:p>
      <w:pPr>
        <w:spacing w:line="360" w:lineRule="auto" w:after="80"/>
        <w:ind w:firstLine="480"/>
      </w:pPr>
      <w:r>
        <w:rPr>
          <w:rFonts w:ascii="宋体" w:hAnsi="宋体" w:eastAsia="宋体"/>
          <w:sz w:val="22"/>
        </w:rPr>
        <w:t>在训练过程中，LSTM 模型对目标负荷进行归一化处理，预测完成后再转换回 kW 单位。这样可以改善神经网络训练的数值稳定性，同时保证最终评价结果具有工程意义。</w:t>
      </w:r>
    </w:p>
    <w:p>
      <w:r>
        <w:t>本文训练目标采用均方误差损失函数：Loss = (1/m) sum_{j=1}^{m}(y_j - yhat_j)^2。式中，m 为批量样本数，y_j 为真实负荷，yhat_j 为模型预测负荷。该损失函数对较大偏差具有更强惩罚作用，有利于模型重视高峰负荷和快速变化时段的预测精度。</w:t>
      </w:r>
    </w:p>
    <w:p>
      <w:pPr>
        <w:pStyle w:val="Heading2"/>
      </w:pPr>
      <w:r>
        <w:t>4.4 BP 神经网络对比模型</w:t>
      </w:r>
    </w:p>
    <w:p>
      <w:pPr>
        <w:spacing w:line="360" w:lineRule="auto" w:after="80"/>
        <w:ind w:firstLine="480"/>
      </w:pPr>
      <w:r>
        <w:rPr>
          <w:rFonts w:ascii="宋体" w:hAnsi="宋体" w:eastAsia="宋体"/>
          <w:sz w:val="22"/>
        </w:rPr>
        <w:t>为了验证 LSTM 模型在地铁车站空调负荷预测中的有效性，本文构建 BP 神经网络作为对比模型。BP 神经网络属于典型前馈神经网络，能够拟合输入变量与输出变量之间的非线性关系，但其本身不具备循环记忆结构，对时间依赖关系的表达能力弱于 LSTM。</w:t>
      </w:r>
    </w:p>
    <w:p>
      <w:pPr>
        <w:spacing w:line="360" w:lineRule="auto" w:after="80"/>
        <w:ind w:firstLine="480"/>
      </w:pPr>
      <w:r>
        <w:rPr>
          <w:rFonts w:ascii="宋体" w:hAnsi="宋体" w:eastAsia="宋体"/>
          <w:sz w:val="22"/>
        </w:rPr>
        <w:t>本文 BP 模型采用两层隐藏层结构，隐藏层神经元数量分别为 20 和 10，输出层为单一负荷预测值。数据划分比例与 LSTM 模型保持一致，仍为训练集 70%、验证集 20%、测试集 10%。</w:t>
      </w:r>
    </w:p>
    <w:p>
      <w:pPr>
        <w:spacing w:line="360" w:lineRule="auto" w:after="80"/>
        <w:ind w:firstLine="480"/>
      </w:pPr>
      <w:r>
        <w:t>需要说明的是，本文 BP 对比模型主要用于评价传统静态非线性模型与时序模型之间的预测差异。因此，BP 模型输入侧重点放在客流、气象、站内环境和时间等静态特征上，不以序列结构组织输入数据。该对比能够说明时序结构对负荷预测的作用，但并不等同于在完全相同信息量下比较两类模型的极限性能。为使结论更严谨，本文将 BP 模型定位为基准对比模型，后续研究可进一步增加“同特征输入 BP”或“含滞后项 BP”作为补充实验。</w:t>
      </w:r>
    </w:p>
    <w:p>
      <w:pPr>
        <w:pStyle w:val="Heading2"/>
      </w:pPr>
      <w:r>
        <w:t>4.5 模型评价指标</w:t>
      </w:r>
    </w:p>
    <w:p>
      <w:pPr>
        <w:spacing w:line="360" w:lineRule="auto" w:after="80"/>
        <w:ind w:firstLine="480"/>
      </w:pPr>
      <w:r>
        <w:rPr>
          <w:rFonts w:ascii="宋体" w:hAnsi="宋体" w:eastAsia="宋体"/>
          <w:sz w:val="22"/>
        </w:rPr>
        <w:t>为了全面评价负荷预测模型的精度，本文选取均方根误差、平均绝对误差、平均绝对百分比误差和决定系数四个指标。</w:t>
      </w:r>
    </w:p>
    <w:p>
      <w:pPr>
        <w:spacing w:line="360" w:lineRule="auto" w:after="80"/>
        <w:ind w:firstLine="480"/>
      </w:pPr>
      <w:r>
        <w:rPr>
          <w:rFonts w:ascii="宋体" w:hAnsi="宋体" w:eastAsia="宋体"/>
          <w:sz w:val="22"/>
        </w:rPr>
        <w:t>均方根误差 RMSE 计算公式为：</w:t>
      </w:r>
    </w:p>
    <w:p>
      <w:pPr>
        <w:spacing w:line="360" w:lineRule="auto" w:after="80"/>
        <w:ind w:firstLine="480"/>
      </w:pPr>
      <w:r>
        <w:rPr>
          <w:rFonts w:ascii="宋体" w:hAnsi="宋体" w:eastAsia="宋体"/>
          <w:sz w:val="22"/>
        </w:rPr>
        <w:t>RMSE = sqrt(1/n sum(yi - yhat_i)^2)</w:t>
      </w:r>
    </w:p>
    <w:p>
      <w:pPr>
        <w:spacing w:line="360" w:lineRule="auto" w:after="80"/>
        <w:ind w:firstLine="480"/>
      </w:pPr>
      <w:r>
        <w:rPr>
          <w:rFonts w:ascii="宋体" w:hAnsi="宋体" w:eastAsia="宋体"/>
          <w:sz w:val="22"/>
        </w:rPr>
        <w:t>RMSE 对较大误差更敏感，可反映模型对峰值或波动较大时段的预测能力。</w:t>
      </w:r>
    </w:p>
    <w:p>
      <w:pPr>
        <w:spacing w:line="360" w:lineRule="auto" w:after="80"/>
        <w:ind w:firstLine="480"/>
      </w:pPr>
      <w:r>
        <w:rPr>
          <w:rFonts w:ascii="宋体" w:hAnsi="宋体" w:eastAsia="宋体"/>
          <w:sz w:val="22"/>
        </w:rPr>
        <w:t>平均绝对误差 MAE 计算公式为：</w:t>
      </w:r>
    </w:p>
    <w:p>
      <w:pPr>
        <w:spacing w:line="360" w:lineRule="auto" w:after="80"/>
        <w:ind w:firstLine="480"/>
      </w:pPr>
      <w:r>
        <w:rPr>
          <w:rFonts w:ascii="宋体" w:hAnsi="宋体" w:eastAsia="宋体"/>
          <w:sz w:val="22"/>
        </w:rPr>
        <w:t>MAE = 1/n sum |yi - yhat_i|</w:t>
      </w:r>
    </w:p>
    <w:p>
      <w:pPr>
        <w:spacing w:line="360" w:lineRule="auto" w:after="80"/>
        <w:ind w:firstLine="480"/>
      </w:pPr>
      <w:r>
        <w:rPr>
          <w:rFonts w:ascii="宋体" w:hAnsi="宋体" w:eastAsia="宋体"/>
          <w:sz w:val="22"/>
        </w:rPr>
        <w:t>MAE 表示预测值与真实值之间的平均绝对偏差，单位为 kW，具有较直观的工程意义。</w:t>
      </w:r>
    </w:p>
    <w:p>
      <w:pPr>
        <w:spacing w:line="360" w:lineRule="auto" w:after="80"/>
        <w:ind w:firstLine="480"/>
      </w:pPr>
      <w:r>
        <w:rPr>
          <w:rFonts w:ascii="宋体" w:hAnsi="宋体" w:eastAsia="宋体"/>
          <w:sz w:val="22"/>
        </w:rPr>
        <w:t>平均绝对百分比误差 MAPE 计算公式为：</w:t>
      </w:r>
    </w:p>
    <w:p>
      <w:pPr>
        <w:spacing w:line="360" w:lineRule="auto" w:after="80"/>
        <w:ind w:firstLine="480"/>
      </w:pPr>
      <w:r>
        <w:rPr>
          <w:rFonts w:ascii="宋体" w:hAnsi="宋体" w:eastAsia="宋体"/>
          <w:sz w:val="22"/>
        </w:rPr>
        <w:t>MAPE = 1/n sum |(yi - yhat_i) / yi| × 100%</w:t>
      </w:r>
    </w:p>
    <w:p>
      <w:pPr>
        <w:spacing w:line="360" w:lineRule="auto" w:after="80"/>
        <w:ind w:firstLine="480"/>
      </w:pPr>
      <w:r>
        <w:rPr>
          <w:rFonts w:ascii="宋体" w:hAnsi="宋体" w:eastAsia="宋体"/>
          <w:sz w:val="22"/>
        </w:rPr>
        <w:t>MAPE 用百分比形式表示预测误差，便于不同量级负荷之间进行比较。</w:t>
      </w:r>
    </w:p>
    <w:p>
      <w:pPr>
        <w:spacing w:line="360" w:lineRule="auto" w:after="80"/>
        <w:ind w:firstLine="480"/>
      </w:pPr>
      <w:r>
        <w:rPr>
          <w:rFonts w:ascii="宋体" w:hAnsi="宋体" w:eastAsia="宋体"/>
          <w:sz w:val="22"/>
        </w:rPr>
        <w:t>决定系数 R² 计算公式为：</w:t>
      </w:r>
    </w:p>
    <w:p>
      <w:pPr>
        <w:spacing w:line="360" w:lineRule="auto" w:after="80"/>
        <w:ind w:firstLine="480"/>
      </w:pPr>
      <w:r>
        <w:rPr>
          <w:rFonts w:ascii="宋体" w:hAnsi="宋体" w:eastAsia="宋体"/>
          <w:sz w:val="22"/>
        </w:rPr>
        <w:t>R² = 1 - sum(yi - yhat_i)^2 / sum(yi - ybar)^2</w:t>
      </w:r>
    </w:p>
    <w:p>
      <w:pPr>
        <w:spacing w:line="360" w:lineRule="auto" w:after="80"/>
        <w:ind w:firstLine="480"/>
      </w:pPr>
      <w:r>
        <w:rPr>
          <w:rFonts w:ascii="宋体" w:hAnsi="宋体" w:eastAsia="宋体"/>
          <w:sz w:val="22"/>
        </w:rPr>
        <w:t>R² 越接近 1，说明模型对负荷变化的解释能力越强。</w:t>
      </w:r>
    </w:p>
    <w:p>
      <w:pPr>
        <w:spacing w:line="360" w:lineRule="auto" w:after="80"/>
        <w:ind w:firstLine="480"/>
      </w:pPr>
      <w:r>
        <w:rPr>
          <w:rFonts w:ascii="宋体" w:hAnsi="宋体" w:eastAsia="宋体"/>
          <w:sz w:val="22"/>
        </w:rPr>
        <w:t>式中，yi 为真实负荷值，yhat_i 为模型预测值，ybar 为真实负荷均值，n 为测试样本数量。</w:t>
      </w:r>
    </w:p>
    <w:p>
      <w:r>
        <w:t>上述指标具有不同侧重点。RMSE 对高峰偏差更加敏感，适合判断模型是否会低估设计校核所关注的大负荷时段；MAE 反映平均绝对偏差，便于解释日常运行预测精度；MAPE 用相对误差表示预测水平，便于与其他站点或不同负荷量级的研究比较；R² 用于衡量模型对负荷波动的整体解释能力。本文同时采用四类指标，是为了避免单一指标掩盖峰值误差或平均误差特征。</w:t>
      </w:r>
    </w:p>
    <w:p>
      <w:pPr>
        <w:pStyle w:val="Heading2"/>
      </w:pPr>
      <w:r>
        <w:t>4.6 预测结果与对比分析</w:t>
      </w:r>
    </w:p>
    <w:p>
      <w:pPr>
        <w:jc w:val="center"/>
      </w:pPr>
      <w:r>
        <w:drawing>
          <wp:inline xmlns:a="http://schemas.openxmlformats.org/drawingml/2006/main" xmlns:pic="http://schemas.openxmlformats.org/drawingml/2006/picture">
            <wp:extent cx="4860000" cy="3961991"/>
            <wp:docPr id="6" name="Picture 6"/>
            <wp:cNvGraphicFramePr>
              <a:graphicFrameLocks noChangeAspect="1"/>
            </wp:cNvGraphicFramePr>
            <a:graphic>
              <a:graphicData uri="http://schemas.openxmlformats.org/drawingml/2006/picture">
                <pic:pic>
                  <pic:nvPicPr>
                    <pic:cNvPr id="0" name="step3_lstm_prediction.png"/>
                    <pic:cNvPicPr/>
                  </pic:nvPicPr>
                  <pic:blipFill>
                    <a:blip r:embed="rId14"/>
                    <a:stretch>
                      <a:fillRect/>
                    </a:stretch>
                  </pic:blipFill>
                  <pic:spPr>
                    <a:xfrm>
                      <a:off x="0" y="0"/>
                      <a:ext cx="4860000" cy="3961991"/>
                    </a:xfrm>
                    <a:prstGeom prst="rect"/>
                  </pic:spPr>
                </pic:pic>
              </a:graphicData>
            </a:graphic>
          </wp:inline>
        </w:drawing>
      </w:r>
    </w:p>
    <w:p>
      <w:pPr>
        <w:spacing w:before="160" w:after="160"/>
        <w:jc w:val="center"/>
      </w:pPr>
      <w:r>
        <w:rPr>
          <w:rFonts w:ascii="宋体" w:hAnsi="宋体" w:eastAsia="宋体"/>
          <w:b/>
          <w:color w:val="505050"/>
          <w:sz w:val="21"/>
        </w:rPr>
        <w:t>【图4-3 LSTM预测结果图】</w:t>
      </w:r>
    </w:p>
    <w:p>
      <w:pPr>
        <w:jc w:val="center"/>
      </w:pPr>
      <w:r>
        <w:drawing>
          <wp:inline xmlns:a="http://schemas.openxmlformats.org/drawingml/2006/main" xmlns:pic="http://schemas.openxmlformats.org/drawingml/2006/picture">
            <wp:extent cx="4860000" cy="3958828"/>
            <wp:docPr id="7" name="Picture 7"/>
            <wp:cNvGraphicFramePr>
              <a:graphicFrameLocks noChangeAspect="1"/>
            </wp:cNvGraphicFramePr>
            <a:graphic>
              <a:graphicData uri="http://schemas.openxmlformats.org/drawingml/2006/picture">
                <pic:pic>
                  <pic:nvPicPr>
                    <pic:cNvPr id="0" name="step3_bp_prediction.png"/>
                    <pic:cNvPicPr/>
                  </pic:nvPicPr>
                  <pic:blipFill>
                    <a:blip r:embed="rId15"/>
                    <a:stretch>
                      <a:fillRect/>
                    </a:stretch>
                  </pic:blipFill>
                  <pic:spPr>
                    <a:xfrm>
                      <a:off x="0" y="0"/>
                      <a:ext cx="4860000" cy="3958828"/>
                    </a:xfrm>
                    <a:prstGeom prst="rect"/>
                  </pic:spPr>
                </pic:pic>
              </a:graphicData>
            </a:graphic>
          </wp:inline>
        </w:drawing>
      </w:r>
    </w:p>
    <w:p>
      <w:pPr>
        <w:spacing w:before="160" w:after="160"/>
        <w:jc w:val="center"/>
      </w:pPr>
      <w:r>
        <w:rPr>
          <w:rFonts w:ascii="宋体" w:hAnsi="宋体" w:eastAsia="宋体"/>
          <w:b/>
          <w:color w:val="505050"/>
          <w:sz w:val="21"/>
        </w:rPr>
        <w:t>【图4-4 BP预测结果图】</w:t>
      </w:r>
    </w:p>
    <w:p>
      <w:pPr>
        <w:jc w:val="center"/>
      </w:pPr>
      <w:r>
        <w:drawing>
          <wp:inline xmlns:a="http://schemas.openxmlformats.org/drawingml/2006/main" xmlns:pic="http://schemas.openxmlformats.org/drawingml/2006/picture">
            <wp:extent cx="4860000" cy="3879474"/>
            <wp:docPr id="8" name="Picture 8"/>
            <wp:cNvGraphicFramePr>
              <a:graphicFrameLocks noChangeAspect="1"/>
            </wp:cNvGraphicFramePr>
            <a:graphic>
              <a:graphicData uri="http://schemas.openxmlformats.org/drawingml/2006/picture">
                <pic:pic>
                  <pic:nvPicPr>
                    <pic:cNvPr id="0" name="step3_model_rmse_comparison.png"/>
                    <pic:cNvPicPr/>
                  </pic:nvPicPr>
                  <pic:blipFill>
                    <a:blip r:embed="rId16"/>
                    <a:stretch>
                      <a:fillRect/>
                    </a:stretch>
                  </pic:blipFill>
                  <pic:spPr>
                    <a:xfrm>
                      <a:off x="0" y="0"/>
                      <a:ext cx="4860000" cy="3879474"/>
                    </a:xfrm>
                    <a:prstGeom prst="rect"/>
                  </pic:spPr>
                </pic:pic>
              </a:graphicData>
            </a:graphic>
          </wp:inline>
        </w:drawing>
      </w:r>
    </w:p>
    <w:p>
      <w:pPr>
        <w:spacing w:before="160" w:after="160"/>
        <w:jc w:val="center"/>
      </w:pPr>
      <w:r>
        <w:rPr>
          <w:rFonts w:ascii="宋体" w:hAnsi="宋体" w:eastAsia="宋体"/>
          <w:b/>
          <w:color w:val="505050"/>
          <w:sz w:val="21"/>
        </w:rPr>
        <w:t>【图4-5 模型RMSE对比图】</w:t>
      </w:r>
    </w:p>
    <w:p>
      <w:pPr>
        <w:spacing w:line="360" w:lineRule="auto" w:after="80"/>
        <w:ind w:firstLine="480"/>
      </w:pPr>
      <w:r>
        <w:rPr>
          <w:rFonts w:ascii="宋体" w:hAnsi="宋体" w:eastAsia="宋体"/>
          <w:sz w:val="22"/>
        </w:rPr>
        <w:t>从预测曲线角度看，LSTM 模型对总体变化趋势和高负荷区间的跟踪能力更强，预测曲线与真实负荷曲线的偏差较小。BP 模型虽然能够反映负荷总体水平，但在负荷快速上升或下降阶段更容易出现滞后。对于容量配置优化而言，高峰负荷和典型负荷区间的预测准确性尤为重要，因为它们直接影响设备容量边界和生命周期能耗估算。</w:t>
      </w:r>
    </w:p>
    <w:p>
      <w:pPr>
        <w:spacing w:line="360" w:lineRule="auto" w:after="80"/>
        <w:ind w:firstLine="480"/>
      </w:pPr>
      <w:r>
        <w:rPr>
          <w:rFonts w:ascii="宋体" w:hAnsi="宋体" w:eastAsia="宋体"/>
          <w:sz w:val="22"/>
        </w:rPr>
        <w:t>LSTM 模型和 BP 模型在测试集上的评价结果如表4-1所示。</w:t>
      </w:r>
    </w:p>
    <w:p>
      <w:pPr>
        <w:spacing w:line="360" w:lineRule="auto" w:after="80"/>
        <w:ind w:firstLine="480"/>
      </w:pPr>
      <w:r>
        <w:rPr>
          <w:rFonts w:ascii="宋体" w:hAnsi="宋体" w:eastAsia="宋体"/>
          <w:sz w:val="22"/>
        </w:rPr>
        <w:t>表4-1 负荷预测模型评价指标</w:t>
      </w:r>
    </w:p>
    <w:tbl>
      <w:tblPr>
        <w:tblStyle w:val="TableGrid"/>
        <w:tblW w:type="auto" w:w="0"/>
        <w:jc w:val="center"/>
        <w:tblLook w:firstColumn="1" w:firstRow="1" w:lastColumn="0" w:lastRow="0" w:noHBand="0" w:noVBand="1" w:val="04A0"/>
      </w:tblPr>
      <w:tblGrid>
        <w:gridCol w:w="1847"/>
        <w:gridCol w:w="1847"/>
        <w:gridCol w:w="1847"/>
        <w:gridCol w:w="1847"/>
        <w:gridCol w:w="1847"/>
      </w:tblGrid>
      <w:tr>
        <w:tc>
          <w:tcPr>
            <w:tcW w:type="dxa" w:w="1847"/>
            <w:vAlign w:val="center"/>
            <w:shd w:fill="D9EAF7"/>
          </w:tcPr>
          <w:p>
            <w:pPr>
              <w:jc w:val="center"/>
            </w:pPr>
            <w:r/>
            <w:r>
              <w:rPr>
                <w:rFonts w:ascii="宋体" w:hAnsi="宋体" w:eastAsia="宋体"/>
                <w:b/>
                <w:sz w:val="18"/>
              </w:rPr>
              <w:t>模型</w:t>
            </w:r>
          </w:p>
        </w:tc>
        <w:tc>
          <w:tcPr>
            <w:tcW w:type="dxa" w:w="1847"/>
            <w:vAlign w:val="center"/>
            <w:shd w:fill="D9EAF7"/>
          </w:tcPr>
          <w:p>
            <w:pPr>
              <w:jc w:val="center"/>
            </w:pPr>
            <w:r/>
            <w:r>
              <w:rPr>
                <w:rFonts w:ascii="宋体" w:hAnsi="宋体" w:eastAsia="宋体"/>
                <w:b/>
                <w:sz w:val="18"/>
              </w:rPr>
              <w:t>RMSE/kW</w:t>
            </w:r>
          </w:p>
        </w:tc>
        <w:tc>
          <w:tcPr>
            <w:tcW w:type="dxa" w:w="1847"/>
            <w:vAlign w:val="center"/>
            <w:shd w:fill="D9EAF7"/>
          </w:tcPr>
          <w:p>
            <w:pPr>
              <w:jc w:val="center"/>
            </w:pPr>
            <w:r/>
            <w:r>
              <w:rPr>
                <w:rFonts w:ascii="宋体" w:hAnsi="宋体" w:eastAsia="宋体"/>
                <w:b/>
                <w:sz w:val="18"/>
              </w:rPr>
              <w:t>MAE/kW</w:t>
            </w:r>
          </w:p>
        </w:tc>
        <w:tc>
          <w:tcPr>
            <w:tcW w:type="dxa" w:w="1847"/>
            <w:vAlign w:val="center"/>
            <w:shd w:fill="D9EAF7"/>
          </w:tcPr>
          <w:p>
            <w:pPr>
              <w:jc w:val="center"/>
            </w:pPr>
            <w:r/>
            <w:r>
              <w:rPr>
                <w:rFonts w:ascii="宋体" w:hAnsi="宋体" w:eastAsia="宋体"/>
                <w:b/>
                <w:sz w:val="18"/>
              </w:rPr>
              <w:t>MAPE/%</w:t>
            </w:r>
          </w:p>
        </w:tc>
        <w:tc>
          <w:tcPr>
            <w:tcW w:type="dxa" w:w="1847"/>
            <w:vAlign w:val="center"/>
            <w:shd w:fill="D9EAF7"/>
          </w:tcPr>
          <w:p>
            <w:pPr>
              <w:jc w:val="center"/>
            </w:pPr>
            <w:r/>
            <w:r>
              <w:rPr>
                <w:rFonts w:ascii="宋体" w:hAnsi="宋体" w:eastAsia="宋体"/>
                <w:b/>
                <w:sz w:val="18"/>
              </w:rPr>
              <w:t>R²</w:t>
            </w:r>
          </w:p>
        </w:tc>
      </w:tr>
      <w:tr>
        <w:tc>
          <w:tcPr>
            <w:tcW w:type="dxa" w:w="1847"/>
            <w:vAlign w:val="center"/>
          </w:tcPr>
          <w:p>
            <w:pPr>
              <w:jc w:val="center"/>
            </w:pPr>
            <w:r/>
            <w:r>
              <w:rPr>
                <w:rFonts w:ascii="宋体" w:hAnsi="宋体" w:eastAsia="宋体"/>
                <w:b w:val="0"/>
                <w:sz w:val="18"/>
              </w:rPr>
              <w:t>LSTM</w:t>
            </w:r>
          </w:p>
        </w:tc>
        <w:tc>
          <w:tcPr>
            <w:tcW w:type="dxa" w:w="1847"/>
            <w:vAlign w:val="center"/>
          </w:tcPr>
          <w:p>
            <w:pPr>
              <w:jc w:val="center"/>
            </w:pPr>
            <w:r/>
            <w:r>
              <w:rPr>
                <w:rFonts w:ascii="宋体" w:hAnsi="宋体" w:eastAsia="宋体"/>
                <w:b w:val="0"/>
                <w:sz w:val="18"/>
              </w:rPr>
              <w:t>13.28</w:t>
            </w:r>
          </w:p>
        </w:tc>
        <w:tc>
          <w:tcPr>
            <w:tcW w:type="dxa" w:w="1847"/>
            <w:vAlign w:val="center"/>
          </w:tcPr>
          <w:p>
            <w:pPr>
              <w:jc w:val="center"/>
            </w:pPr>
            <w:r/>
            <w:r>
              <w:rPr>
                <w:rFonts w:ascii="宋体" w:hAnsi="宋体" w:eastAsia="宋体"/>
                <w:b w:val="0"/>
                <w:sz w:val="18"/>
              </w:rPr>
              <w:t>10.69</w:t>
            </w:r>
          </w:p>
        </w:tc>
        <w:tc>
          <w:tcPr>
            <w:tcW w:type="dxa" w:w="1847"/>
            <w:vAlign w:val="center"/>
          </w:tcPr>
          <w:p>
            <w:pPr>
              <w:jc w:val="center"/>
            </w:pPr>
            <w:r/>
            <w:r>
              <w:rPr>
                <w:rFonts w:ascii="宋体" w:hAnsi="宋体" w:eastAsia="宋体"/>
                <w:b w:val="0"/>
                <w:sz w:val="18"/>
              </w:rPr>
              <w:t>5.69</w:t>
            </w:r>
          </w:p>
        </w:tc>
        <w:tc>
          <w:tcPr>
            <w:tcW w:type="dxa" w:w="1847"/>
            <w:vAlign w:val="center"/>
          </w:tcPr>
          <w:p>
            <w:pPr>
              <w:jc w:val="center"/>
            </w:pPr>
            <w:r/>
            <w:r>
              <w:rPr>
                <w:rFonts w:ascii="宋体" w:hAnsi="宋体" w:eastAsia="宋体"/>
                <w:b w:val="0"/>
                <w:sz w:val="18"/>
              </w:rPr>
              <w:t>0.9557</w:t>
            </w:r>
          </w:p>
        </w:tc>
      </w:tr>
      <w:tr>
        <w:tc>
          <w:tcPr>
            <w:tcW w:type="dxa" w:w="1847"/>
            <w:vAlign w:val="center"/>
          </w:tcPr>
          <w:p>
            <w:pPr>
              <w:jc w:val="center"/>
            </w:pPr>
            <w:r/>
            <w:r>
              <w:rPr>
                <w:rFonts w:ascii="宋体" w:hAnsi="宋体" w:eastAsia="宋体"/>
                <w:b w:val="0"/>
                <w:sz w:val="18"/>
              </w:rPr>
              <w:t>BP</w:t>
            </w:r>
          </w:p>
        </w:tc>
        <w:tc>
          <w:tcPr>
            <w:tcW w:type="dxa" w:w="1847"/>
            <w:vAlign w:val="center"/>
          </w:tcPr>
          <w:p>
            <w:pPr>
              <w:jc w:val="center"/>
            </w:pPr>
            <w:r/>
            <w:r>
              <w:rPr>
                <w:rFonts w:ascii="宋体" w:hAnsi="宋体" w:eastAsia="宋体"/>
                <w:b w:val="0"/>
                <w:sz w:val="18"/>
              </w:rPr>
              <w:t>17.87</w:t>
            </w:r>
          </w:p>
        </w:tc>
        <w:tc>
          <w:tcPr>
            <w:tcW w:type="dxa" w:w="1847"/>
            <w:vAlign w:val="center"/>
          </w:tcPr>
          <w:p>
            <w:pPr>
              <w:jc w:val="center"/>
            </w:pPr>
            <w:r/>
            <w:r>
              <w:rPr>
                <w:rFonts w:ascii="宋体" w:hAnsi="宋体" w:eastAsia="宋体"/>
                <w:b w:val="0"/>
                <w:sz w:val="18"/>
              </w:rPr>
              <w:t>14.33</w:t>
            </w:r>
          </w:p>
        </w:tc>
        <w:tc>
          <w:tcPr>
            <w:tcW w:type="dxa" w:w="1847"/>
            <w:vAlign w:val="center"/>
          </w:tcPr>
          <w:p>
            <w:pPr>
              <w:jc w:val="center"/>
            </w:pPr>
            <w:r/>
            <w:r>
              <w:rPr>
                <w:rFonts w:ascii="宋体" w:hAnsi="宋体" w:eastAsia="宋体"/>
                <w:b w:val="0"/>
                <w:sz w:val="18"/>
              </w:rPr>
              <w:t>7.64</w:t>
            </w:r>
          </w:p>
        </w:tc>
        <w:tc>
          <w:tcPr>
            <w:tcW w:type="dxa" w:w="1847"/>
            <w:vAlign w:val="center"/>
          </w:tcPr>
          <w:p>
            <w:pPr>
              <w:jc w:val="center"/>
            </w:pPr>
            <w:r/>
            <w:r>
              <w:rPr>
                <w:rFonts w:ascii="宋体" w:hAnsi="宋体" w:eastAsia="宋体"/>
                <w:b w:val="0"/>
                <w:sz w:val="18"/>
              </w:rPr>
              <w:t>0.9194</w:t>
            </w:r>
          </w:p>
        </w:tc>
      </w:tr>
    </w:tbl>
    <w:p/>
    <w:p>
      <w:pPr>
        <w:spacing w:line="360" w:lineRule="auto" w:after="80"/>
        <w:ind w:firstLine="480"/>
      </w:pPr>
      <w:r>
        <w:rPr>
          <w:rFonts w:ascii="宋体" w:hAnsi="宋体" w:eastAsia="宋体"/>
          <w:sz w:val="22"/>
        </w:rPr>
        <w:t>由表4-1可知，LSTM 模型在各项评价指标上均优于 BP 神经网络。LSTM 的 RMSE 为 13.28 kW，低于 BP 模型的 17.87 kW；LSTM 的 MAE 为 10.69 kW，低于 BP 模型的 14.33 kW；LSTM 的 MAPE 为 5.69%，低于 BP 模型的 7.64%；LSTM 的 R² 为 0.9557，高于 BP 模型的 0.9194。</w:t>
      </w:r>
    </w:p>
    <w:p>
      <w:pPr>
        <w:spacing w:line="360" w:lineRule="auto" w:after="80"/>
        <w:ind w:firstLine="480"/>
      </w:pPr>
      <w:r>
        <w:t>从误差降低幅度来看，LSTM 相比 BP 模型的 RMSE 降低约 25.68%，MAE 降低约 25.39%，MAPE 降低约 25.57%。在本文数据集和特征构造条件下，LSTM 对站台区域空调负荷变化具有更好的拟合能力和泛化能力。由于容量优化更关注高峰负荷和典型运行区间，RMSE 的明显降低表明 LSTM 对大偏差样本的控制能力更强，可为第5章设计负荷确定和容量约束设置提供更可靠的输入基础。</w:t>
      </w:r>
    </w:p>
    <w:p>
      <w:pPr>
        <w:spacing w:line="360" w:lineRule="auto" w:after="80"/>
        <w:ind w:firstLine="480"/>
      </w:pPr>
      <w:r>
        <w:rPr>
          <w:rFonts w:ascii="宋体" w:hAnsi="宋体" w:eastAsia="宋体"/>
          <w:sz w:val="22"/>
        </w:rPr>
        <w:t>从模型机理看，LSTM 的优势主要来自两个方面。第一，地铁车站负荷具有明显的连续性和滞后性，当前负荷与前一时段及前若干时段负荷高度相关。LSTM 能够通过序列结构捕捉这类时间依赖关系。第二，客流和气象变化对负荷的影响并非完全同步，而是存在一定滞后和累积效应。LSTM 的门控结构有助于保留有效历史信息，从而提高对负荷波动的响应能力。</w:t>
      </w:r>
    </w:p>
    <w:p>
      <w:pPr>
        <w:spacing w:line="360" w:lineRule="auto" w:after="80"/>
        <w:ind w:firstLine="480"/>
      </w:pPr>
      <w:r>
        <w:rPr>
          <w:rFonts w:ascii="宋体" w:hAnsi="宋体" w:eastAsia="宋体"/>
          <w:sz w:val="22"/>
        </w:rPr>
        <w:t>BP 神经网络虽然能够拟合非线性映射关系，但其输入为静态特征，难以充分表达连续时序中的状态演化。因此，在负荷快速变化或高峰转换时段，BP 模型更容易出现滞后或偏差。相比之下，LSTM 模型能够更好地跟踪负荷变化趋势，对后续容量配置优化具有更高适用性。</w:t>
      </w:r>
    </w:p>
    <w:p>
      <w:r>
        <w:t>同时需要看到，负荷预测误差仍可能来自三类因素：一是 7 月单月数据对全年运行状态覆盖不足；二是列车运行间隔、屏蔽门启闭、设备启停策略等变量未完全纳入输入特征；三是传感器采样延迟和局部异常值会影响历史负荷项的稳定性。因此，本文在第5章确定设计负荷时采用预测负荷与测试集真实负荷联合校核，而不是直接以单一预测峰值作为设备选型依据。</w:t>
      </w:r>
    </w:p>
    <w:p>
      <w:pPr>
        <w:pStyle w:val="Heading2"/>
      </w:pPr>
      <w:r>
        <w:t>4.7 本章小结</w:t>
      </w:r>
    </w:p>
    <w:p>
      <w:pPr>
        <w:spacing w:line="360" w:lineRule="auto" w:after="80"/>
        <w:ind w:firstLine="480"/>
      </w:pPr>
      <w:r>
        <w:rPr>
          <w:rFonts w:ascii="宋体" w:hAnsi="宋体" w:eastAsia="宋体"/>
          <w:sz w:val="22"/>
        </w:rPr>
        <w:t>本章基于第三章筛选得到的关键影响因素，建立了地铁车站站台区域空调负荷预测模型。首先构建了包含客流、气象、站内环境、时间特征和历史负荷项的预测输入矩阵，并按 7:2:1 的比例划分训练集、验证集和测试集。随后建立两层 LSTM 神经网络模型，并采用 BP 神经网络作为对比模型。测试结果表明，LSTM 模型的 RMSE 为 13.28 kW，MAPE 为 5.69%，R² 为 0.9557，整体预测精度优于 BP 模型。说明 LSTM 能够较好捕捉地铁车站空调负荷的时序变化规律，可作为后续容量配置优化的负荷输入基础。</w:t>
      </w:r>
    </w:p>
    <w:p>
      <w:pPr>
        <w:pStyle w:val="Heading1"/>
      </w:pPr>
      <w:r>
        <w:t>第5章 地铁车站通风空调系统容量配置多目标优化</w:t>
      </w:r>
    </w:p>
    <w:p>
      <w:pPr>
        <w:pStyle w:val="Heading2"/>
      </w:pPr>
      <w:r>
        <w:t>5.1 容量配置优化对象与决策变量</w:t>
      </w:r>
    </w:p>
    <w:p>
      <w:pPr>
        <w:spacing w:line="360" w:lineRule="auto" w:after="80"/>
        <w:ind w:firstLine="480"/>
      </w:pPr>
      <w:r>
        <w:rPr>
          <w:rFonts w:ascii="宋体" w:hAnsi="宋体" w:eastAsia="宋体"/>
          <w:sz w:val="22"/>
        </w:rPr>
        <w:t>表5-1 设备候选容量与台数范围</w:t>
      </w:r>
    </w:p>
    <w:tbl>
      <w:tblPr>
        <w:tblStyle w:val="TableGrid"/>
        <w:tblW w:type="auto" w:w="0"/>
        <w:jc w:val="center"/>
        <w:tblLook w:firstColumn="1" w:firstRow="1" w:lastColumn="0" w:lastRow="0" w:noHBand="0" w:noVBand="1" w:val="04A0"/>
      </w:tblPr>
      <w:tblGrid>
        <w:gridCol w:w="3079"/>
        <w:gridCol w:w="3079"/>
        <w:gridCol w:w="3079"/>
      </w:tblGrid>
      <w:tr>
        <w:tc>
          <w:tcPr>
            <w:tcW w:type="dxa" w:w="3079"/>
            <w:vAlign w:val="center"/>
            <w:shd w:fill="D9EAF7"/>
          </w:tcPr>
          <w:p>
            <w:pPr>
              <w:jc w:val="center"/>
            </w:pPr>
            <w:r/>
            <w:r>
              <w:rPr>
                <w:rFonts w:ascii="宋体" w:hAnsi="宋体" w:eastAsia="宋体"/>
                <w:b/>
                <w:sz w:val="18"/>
              </w:rPr>
              <w:t>设备类型</w:t>
            </w:r>
          </w:p>
        </w:tc>
        <w:tc>
          <w:tcPr>
            <w:tcW w:type="dxa" w:w="3079"/>
            <w:vAlign w:val="center"/>
            <w:shd w:fill="D9EAF7"/>
          </w:tcPr>
          <w:p>
            <w:pPr>
              <w:jc w:val="center"/>
            </w:pPr>
            <w:r/>
            <w:r>
              <w:rPr>
                <w:rFonts w:ascii="宋体" w:hAnsi="宋体" w:eastAsia="宋体"/>
                <w:b/>
                <w:sz w:val="18"/>
              </w:rPr>
              <w:t>候选容量或风量</w:t>
            </w:r>
          </w:p>
        </w:tc>
        <w:tc>
          <w:tcPr>
            <w:tcW w:type="dxa" w:w="3079"/>
            <w:vAlign w:val="center"/>
            <w:shd w:fill="D9EAF7"/>
          </w:tcPr>
          <w:p>
            <w:pPr>
              <w:jc w:val="center"/>
            </w:pPr>
            <w:r/>
            <w:r>
              <w:rPr>
                <w:rFonts w:ascii="宋体" w:hAnsi="宋体" w:eastAsia="宋体"/>
                <w:b/>
                <w:sz w:val="18"/>
              </w:rPr>
              <w:t>台数范围</w:t>
            </w:r>
          </w:p>
        </w:tc>
      </w:tr>
      <w:tr>
        <w:tc>
          <w:tcPr>
            <w:tcW w:type="dxa" w:w="3079"/>
            <w:vAlign w:val="center"/>
          </w:tcPr>
          <w:p>
            <w:pPr>
              <w:jc w:val="center"/>
            </w:pPr>
            <w:r/>
            <w:r>
              <w:rPr>
                <w:rFonts w:ascii="宋体" w:hAnsi="宋体" w:eastAsia="宋体"/>
                <w:b w:val="0"/>
                <w:sz w:val="18"/>
              </w:rPr>
              <w:t>冷水机组</w:t>
            </w:r>
          </w:p>
        </w:tc>
        <w:tc>
          <w:tcPr>
            <w:tcW w:type="dxa" w:w="3079"/>
            <w:vAlign w:val="center"/>
          </w:tcPr>
          <w:p>
            <w:pPr>
              <w:jc w:val="left"/>
            </w:pPr>
            <w:r/>
            <w:r>
              <w:rPr>
                <w:rFonts w:ascii="宋体" w:hAnsi="宋体" w:eastAsia="宋体"/>
                <w:b w:val="0"/>
                <w:sz w:val="18"/>
              </w:rPr>
              <w:t>120、150、180、200、220、250、280、300、320、350、380 kW</w:t>
            </w:r>
          </w:p>
        </w:tc>
        <w:tc>
          <w:tcPr>
            <w:tcW w:type="dxa" w:w="3079"/>
            <w:vAlign w:val="center"/>
          </w:tcPr>
          <w:p>
            <w:pPr>
              <w:jc w:val="center"/>
            </w:pPr>
            <w:r/>
            <w:r>
              <w:rPr>
                <w:rFonts w:ascii="宋体" w:hAnsi="宋体" w:eastAsia="宋体"/>
                <w:b w:val="0"/>
                <w:sz w:val="18"/>
              </w:rPr>
              <w:t>1-4</w:t>
            </w:r>
          </w:p>
        </w:tc>
      </w:tr>
      <w:tr>
        <w:tc>
          <w:tcPr>
            <w:tcW w:type="dxa" w:w="3079"/>
            <w:vAlign w:val="center"/>
          </w:tcPr>
          <w:p>
            <w:pPr>
              <w:jc w:val="center"/>
            </w:pPr>
            <w:r/>
            <w:r>
              <w:rPr>
                <w:rFonts w:ascii="宋体" w:hAnsi="宋体" w:eastAsia="宋体"/>
                <w:b w:val="0"/>
                <w:sz w:val="18"/>
              </w:rPr>
              <w:t>风机</w:t>
            </w:r>
          </w:p>
        </w:tc>
        <w:tc>
          <w:tcPr>
            <w:tcW w:type="dxa" w:w="3079"/>
            <w:vAlign w:val="center"/>
          </w:tcPr>
          <w:p>
            <w:pPr>
              <w:jc w:val="left"/>
            </w:pPr>
            <w:r/>
            <w:r>
              <w:rPr>
                <w:rFonts w:ascii="宋体" w:hAnsi="宋体" w:eastAsia="宋体"/>
                <w:b w:val="0"/>
                <w:sz w:val="18"/>
              </w:rPr>
              <w:t>18、22、26、30、35、40、45、50 kW</w:t>
            </w:r>
          </w:p>
        </w:tc>
        <w:tc>
          <w:tcPr>
            <w:tcW w:type="dxa" w:w="3079"/>
            <w:vAlign w:val="center"/>
          </w:tcPr>
          <w:p>
            <w:pPr>
              <w:jc w:val="center"/>
            </w:pPr>
            <w:r/>
            <w:r>
              <w:rPr>
                <w:rFonts w:ascii="宋体" w:hAnsi="宋体" w:eastAsia="宋体"/>
                <w:b w:val="0"/>
                <w:sz w:val="18"/>
              </w:rPr>
              <w:t>1-6</w:t>
            </w:r>
          </w:p>
        </w:tc>
      </w:tr>
      <w:tr>
        <w:tc>
          <w:tcPr>
            <w:tcW w:type="dxa" w:w="3079"/>
            <w:vAlign w:val="center"/>
          </w:tcPr>
          <w:p>
            <w:pPr>
              <w:jc w:val="center"/>
            </w:pPr>
            <w:r/>
            <w:r>
              <w:rPr>
                <w:rFonts w:ascii="宋体" w:hAnsi="宋体" w:eastAsia="宋体"/>
                <w:b w:val="0"/>
                <w:sz w:val="18"/>
              </w:rPr>
              <w:t>水泵</w:t>
            </w:r>
          </w:p>
        </w:tc>
        <w:tc>
          <w:tcPr>
            <w:tcW w:type="dxa" w:w="3079"/>
            <w:vAlign w:val="center"/>
          </w:tcPr>
          <w:p>
            <w:pPr>
              <w:jc w:val="left"/>
            </w:pPr>
            <w:r/>
            <w:r>
              <w:rPr>
                <w:rFonts w:ascii="宋体" w:hAnsi="宋体" w:eastAsia="宋体"/>
                <w:b w:val="0"/>
                <w:sz w:val="18"/>
              </w:rPr>
              <w:t>16、20、24、28、32、36、40 kW</w:t>
            </w:r>
          </w:p>
        </w:tc>
        <w:tc>
          <w:tcPr>
            <w:tcW w:type="dxa" w:w="3079"/>
            <w:vAlign w:val="center"/>
          </w:tcPr>
          <w:p>
            <w:pPr>
              <w:jc w:val="center"/>
            </w:pPr>
            <w:r/>
            <w:r>
              <w:rPr>
                <w:rFonts w:ascii="宋体" w:hAnsi="宋体" w:eastAsia="宋体"/>
                <w:b w:val="0"/>
                <w:sz w:val="18"/>
              </w:rPr>
              <w:t>1-6</w:t>
            </w:r>
          </w:p>
        </w:tc>
      </w:tr>
      <w:tr>
        <w:tc>
          <w:tcPr>
            <w:tcW w:type="dxa" w:w="3079"/>
            <w:vAlign w:val="center"/>
          </w:tcPr>
          <w:p>
            <w:pPr>
              <w:jc w:val="center"/>
            </w:pPr>
            <w:r/>
            <w:r>
              <w:rPr>
                <w:rFonts w:ascii="宋体" w:hAnsi="宋体" w:eastAsia="宋体"/>
                <w:b w:val="0"/>
                <w:sz w:val="18"/>
              </w:rPr>
              <w:t>空气处理机组</w:t>
            </w:r>
          </w:p>
        </w:tc>
        <w:tc>
          <w:tcPr>
            <w:tcW w:type="dxa" w:w="3079"/>
            <w:vAlign w:val="center"/>
          </w:tcPr>
          <w:p>
            <w:pPr>
              <w:jc w:val="left"/>
            </w:pPr>
            <w:r/>
            <w:r>
              <w:rPr>
                <w:rFonts w:ascii="宋体" w:hAnsi="宋体" w:eastAsia="宋体"/>
                <w:b w:val="0"/>
                <w:sz w:val="18"/>
              </w:rPr>
              <w:t>25000、30000、35000、40000、45000、50000、55000、60000 m³/h</w:t>
            </w:r>
          </w:p>
        </w:tc>
        <w:tc>
          <w:tcPr>
            <w:tcW w:type="dxa" w:w="3079"/>
            <w:vAlign w:val="center"/>
          </w:tcPr>
          <w:p>
            <w:pPr>
              <w:jc w:val="center"/>
            </w:pPr>
            <w:r/>
            <w:r>
              <w:rPr>
                <w:rFonts w:ascii="宋体" w:hAnsi="宋体" w:eastAsia="宋体"/>
                <w:b w:val="0"/>
                <w:sz w:val="18"/>
              </w:rPr>
              <w:t>1-4</w:t>
            </w:r>
          </w:p>
        </w:tc>
      </w:tr>
    </w:tbl>
    <w:p/>
    <w:p>
      <w:pPr>
        <w:spacing w:line="360" w:lineRule="auto" w:after="80"/>
        <w:ind w:firstLine="480"/>
      </w:pPr>
      <w:r>
        <w:rPr>
          <w:rFonts w:ascii="宋体" w:hAnsi="宋体" w:eastAsia="宋体"/>
          <w:sz w:val="22"/>
        </w:rPr>
        <w:t>表5-2 经济性计算参数</w:t>
      </w:r>
    </w:p>
    <w:tbl>
      <w:tblPr>
        <w:tblStyle w:val="TableGrid"/>
        <w:tblW w:type="auto" w:w="0"/>
        <w:jc w:val="center"/>
        <w:tblLook w:firstColumn="1" w:firstRow="1" w:lastColumn="0" w:lastRow="0" w:noHBand="0" w:noVBand="1" w:val="04A0"/>
      </w:tblPr>
      <w:tblGrid>
        <w:gridCol w:w="3079"/>
        <w:gridCol w:w="3079"/>
        <w:gridCol w:w="3079"/>
      </w:tblGrid>
      <w:tr>
        <w:tc>
          <w:tcPr>
            <w:tcW w:type="dxa" w:w="3079"/>
            <w:vAlign w:val="center"/>
            <w:shd w:fill="D9EAF7"/>
          </w:tcPr>
          <w:p>
            <w:pPr>
              <w:jc w:val="center"/>
            </w:pPr>
            <w:r/>
            <w:r>
              <w:rPr>
                <w:rFonts w:ascii="宋体" w:hAnsi="宋体" w:eastAsia="宋体"/>
                <w:b/>
                <w:sz w:val="18"/>
              </w:rPr>
              <w:t>参数</w:t>
            </w:r>
          </w:p>
        </w:tc>
        <w:tc>
          <w:tcPr>
            <w:tcW w:type="dxa" w:w="3079"/>
            <w:vAlign w:val="center"/>
            <w:shd w:fill="D9EAF7"/>
          </w:tcPr>
          <w:p>
            <w:pPr>
              <w:jc w:val="center"/>
            </w:pPr>
            <w:r/>
            <w:r>
              <w:rPr>
                <w:rFonts w:ascii="宋体" w:hAnsi="宋体" w:eastAsia="宋体"/>
                <w:b/>
                <w:sz w:val="18"/>
              </w:rPr>
              <w:t>取值</w:t>
            </w:r>
          </w:p>
        </w:tc>
        <w:tc>
          <w:tcPr>
            <w:tcW w:type="dxa" w:w="3079"/>
            <w:vAlign w:val="center"/>
            <w:shd w:fill="D9EAF7"/>
          </w:tcPr>
          <w:p>
            <w:pPr>
              <w:jc w:val="center"/>
            </w:pPr>
            <w:r/>
            <w:r>
              <w:rPr>
                <w:rFonts w:ascii="宋体" w:hAnsi="宋体" w:eastAsia="宋体"/>
                <w:b/>
                <w:sz w:val="18"/>
              </w:rPr>
              <w:t>说明</w:t>
            </w:r>
          </w:p>
        </w:tc>
      </w:tr>
      <w:tr>
        <w:tc>
          <w:tcPr>
            <w:tcW w:type="dxa" w:w="3079"/>
            <w:vAlign w:val="center"/>
          </w:tcPr>
          <w:p>
            <w:pPr>
              <w:jc w:val="center"/>
            </w:pPr>
            <w:r/>
            <w:r>
              <w:rPr>
                <w:rFonts w:ascii="宋体" w:hAnsi="宋体" w:eastAsia="宋体"/>
                <w:b w:val="0"/>
                <w:sz w:val="18"/>
              </w:rPr>
              <w:t>电价</w:t>
            </w:r>
          </w:p>
        </w:tc>
        <w:tc>
          <w:tcPr>
            <w:tcW w:type="dxa" w:w="3079"/>
            <w:vAlign w:val="center"/>
          </w:tcPr>
          <w:p>
            <w:pPr>
              <w:jc w:val="center"/>
            </w:pPr>
            <w:r/>
            <w:r>
              <w:rPr>
                <w:rFonts w:ascii="宋体" w:hAnsi="宋体" w:eastAsia="宋体"/>
                <w:b w:val="0"/>
                <w:sz w:val="18"/>
              </w:rPr>
              <w:t>0.85 元/kWh</w:t>
            </w:r>
          </w:p>
        </w:tc>
        <w:tc>
          <w:tcPr>
            <w:tcW w:type="dxa" w:w="3079"/>
            <w:vAlign w:val="center"/>
          </w:tcPr>
          <w:p>
            <w:pPr>
              <w:jc w:val="center"/>
            </w:pPr>
            <w:r/>
            <w:r>
              <w:rPr>
                <w:rFonts w:ascii="宋体" w:hAnsi="宋体" w:eastAsia="宋体"/>
                <w:b w:val="0"/>
                <w:sz w:val="18"/>
              </w:rPr>
              <w:t>运行电费估算</w:t>
            </w:r>
          </w:p>
        </w:tc>
      </w:tr>
      <w:tr>
        <w:tc>
          <w:tcPr>
            <w:tcW w:type="dxa" w:w="3079"/>
            <w:vAlign w:val="center"/>
          </w:tcPr>
          <w:p>
            <w:pPr>
              <w:jc w:val="center"/>
            </w:pPr>
            <w:r/>
            <w:r>
              <w:rPr>
                <w:rFonts w:ascii="宋体" w:hAnsi="宋体" w:eastAsia="宋体"/>
                <w:b w:val="0"/>
                <w:sz w:val="18"/>
              </w:rPr>
              <w:t>使用年限</w:t>
            </w:r>
          </w:p>
        </w:tc>
        <w:tc>
          <w:tcPr>
            <w:tcW w:type="dxa" w:w="3079"/>
            <w:vAlign w:val="center"/>
          </w:tcPr>
          <w:p>
            <w:pPr>
              <w:jc w:val="center"/>
            </w:pPr>
            <w:r/>
            <w:r>
              <w:rPr>
                <w:rFonts w:ascii="宋体" w:hAnsi="宋体" w:eastAsia="宋体"/>
                <w:b w:val="0"/>
                <w:sz w:val="18"/>
              </w:rPr>
              <w:t>15 年</w:t>
            </w:r>
          </w:p>
        </w:tc>
        <w:tc>
          <w:tcPr>
            <w:tcW w:type="dxa" w:w="3079"/>
            <w:vAlign w:val="center"/>
          </w:tcPr>
          <w:p>
            <w:pPr>
              <w:jc w:val="center"/>
            </w:pPr>
            <w:r/>
            <w:r>
              <w:rPr>
                <w:rFonts w:ascii="宋体" w:hAnsi="宋体" w:eastAsia="宋体"/>
                <w:b w:val="0"/>
                <w:sz w:val="18"/>
              </w:rPr>
              <w:t>生命周期计算周期</w:t>
            </w:r>
          </w:p>
        </w:tc>
      </w:tr>
      <w:tr>
        <w:tc>
          <w:tcPr>
            <w:tcW w:type="dxa" w:w="3079"/>
            <w:vAlign w:val="center"/>
          </w:tcPr>
          <w:p>
            <w:pPr>
              <w:jc w:val="center"/>
            </w:pPr>
            <w:r/>
            <w:r>
              <w:rPr>
                <w:rFonts w:ascii="宋体" w:hAnsi="宋体" w:eastAsia="宋体"/>
                <w:b w:val="0"/>
                <w:sz w:val="18"/>
              </w:rPr>
              <w:t>折现率</w:t>
            </w:r>
          </w:p>
        </w:tc>
        <w:tc>
          <w:tcPr>
            <w:tcW w:type="dxa" w:w="3079"/>
            <w:vAlign w:val="center"/>
          </w:tcPr>
          <w:p>
            <w:pPr>
              <w:jc w:val="center"/>
            </w:pPr>
            <w:r/>
            <w:r>
              <w:rPr>
                <w:rFonts w:ascii="宋体" w:hAnsi="宋体" w:eastAsia="宋体"/>
                <w:b w:val="0"/>
                <w:sz w:val="18"/>
              </w:rPr>
              <w:t>5%</w:t>
            </w:r>
          </w:p>
        </w:tc>
        <w:tc>
          <w:tcPr>
            <w:tcW w:type="dxa" w:w="3079"/>
            <w:vAlign w:val="center"/>
          </w:tcPr>
          <w:p>
            <w:pPr>
              <w:jc w:val="center"/>
            </w:pPr>
            <w:r/>
            <w:r>
              <w:rPr>
                <w:rFonts w:ascii="宋体" w:hAnsi="宋体" w:eastAsia="宋体"/>
                <w:b w:val="0"/>
                <w:sz w:val="18"/>
              </w:rPr>
              <w:t>折现计算</w:t>
            </w:r>
          </w:p>
        </w:tc>
      </w:tr>
      <w:tr>
        <w:tc>
          <w:tcPr>
            <w:tcW w:type="dxa" w:w="3079"/>
            <w:vAlign w:val="center"/>
          </w:tcPr>
          <w:p>
            <w:pPr>
              <w:jc w:val="center"/>
            </w:pPr>
            <w:r/>
            <w:r>
              <w:rPr>
                <w:rFonts w:ascii="宋体" w:hAnsi="宋体" w:eastAsia="宋体"/>
                <w:b w:val="0"/>
                <w:sz w:val="18"/>
              </w:rPr>
              <w:t>制冷季天数</w:t>
            </w:r>
          </w:p>
        </w:tc>
        <w:tc>
          <w:tcPr>
            <w:tcW w:type="dxa" w:w="3079"/>
            <w:vAlign w:val="center"/>
          </w:tcPr>
          <w:p>
            <w:pPr>
              <w:jc w:val="center"/>
            </w:pPr>
            <w:r/>
            <w:r>
              <w:rPr>
                <w:rFonts w:ascii="宋体" w:hAnsi="宋体" w:eastAsia="宋体"/>
                <w:b w:val="0"/>
                <w:sz w:val="18"/>
              </w:rPr>
              <w:t>120 天</w:t>
            </w:r>
          </w:p>
        </w:tc>
        <w:tc>
          <w:tcPr>
            <w:tcW w:type="dxa" w:w="3079"/>
            <w:vAlign w:val="center"/>
          </w:tcPr>
          <w:p>
            <w:pPr>
              <w:jc w:val="center"/>
            </w:pPr>
            <w:r/>
            <w:r>
              <w:rPr>
                <w:rFonts w:ascii="宋体" w:hAnsi="宋体" w:eastAsia="宋体"/>
                <w:b w:val="0"/>
                <w:sz w:val="18"/>
              </w:rPr>
              <w:t>年运行能耗估算</w:t>
            </w:r>
          </w:p>
        </w:tc>
      </w:tr>
      <w:tr>
        <w:tc>
          <w:tcPr>
            <w:tcW w:type="dxa" w:w="3079"/>
            <w:vAlign w:val="center"/>
          </w:tcPr>
          <w:p>
            <w:pPr>
              <w:jc w:val="center"/>
            </w:pPr>
            <w:r/>
            <w:r>
              <w:rPr>
                <w:rFonts w:ascii="宋体" w:hAnsi="宋体" w:eastAsia="宋体"/>
                <w:b w:val="0"/>
                <w:sz w:val="18"/>
              </w:rPr>
              <w:t>维护费率</w:t>
            </w:r>
          </w:p>
        </w:tc>
        <w:tc>
          <w:tcPr>
            <w:tcW w:type="dxa" w:w="3079"/>
            <w:vAlign w:val="center"/>
          </w:tcPr>
          <w:p>
            <w:pPr>
              <w:jc w:val="center"/>
            </w:pPr>
            <w:r/>
            <w:r>
              <w:rPr>
                <w:rFonts w:ascii="宋体" w:hAnsi="宋体" w:eastAsia="宋体"/>
                <w:b w:val="0"/>
                <w:sz w:val="18"/>
              </w:rPr>
              <w:t>3.5%</w:t>
            </w:r>
          </w:p>
        </w:tc>
        <w:tc>
          <w:tcPr>
            <w:tcW w:type="dxa" w:w="3079"/>
            <w:vAlign w:val="center"/>
          </w:tcPr>
          <w:p>
            <w:pPr>
              <w:jc w:val="center"/>
            </w:pPr>
            <w:r/>
            <w:r>
              <w:rPr>
                <w:rFonts w:ascii="宋体" w:hAnsi="宋体" w:eastAsia="宋体"/>
                <w:b w:val="0"/>
                <w:sz w:val="18"/>
              </w:rPr>
              <w:t>按初投资比例估算</w:t>
            </w:r>
          </w:p>
        </w:tc>
      </w:tr>
    </w:tbl>
    <w:p/>
    <w:p>
      <w:pPr>
        <w:spacing w:line="360" w:lineRule="auto" w:after="80"/>
        <w:ind w:firstLine="480"/>
      </w:pPr>
      <w:r>
        <w:t>在完成站台区域空调负荷预测后，需要进一步将负荷需求转化为可实施的设备容量配置方案。地铁车站通风空调系统由冷源、风系统、水系统和空气处理系统共同组成，各子系统之间存在能力传递和运行匹配关系。若只优化冷水机组容量，而忽略风机、水泵和空气处理机组能力，则可能出现冷源容量合理但末端输配能力不足，或辅助设备过度配置导致投资和能耗增加的问题。因此，本文将冷源侧、送排风侧、水系统和空气处理侧纳入统一优化框架。</w:t>
      </w:r>
    </w:p>
    <w:p>
      <w:pPr>
        <w:spacing w:line="360" w:lineRule="auto" w:after="80"/>
        <w:ind w:firstLine="480"/>
      </w:pPr>
      <w:r>
        <w:rPr>
          <w:rFonts w:ascii="宋体" w:hAnsi="宋体" w:eastAsia="宋体"/>
          <w:sz w:val="22"/>
        </w:rPr>
        <w:t>本文容量配置优化对象包括冷水机组、站台送排风机、水泵和空气处理机组。考虑工程设备通常按照标准容量序列进行选型，本文将容量配置问题处理为离散变量组合优化问题。优化决策变量包括 8 个部分：</w:t>
      </w:r>
    </w:p>
    <w:p>
      <w:pPr>
        <w:spacing w:line="360" w:lineRule="auto"/>
        <w:ind w:left="360"/>
      </w:pPr>
      <w:r>
        <w:rPr>
          <w:rFonts w:ascii="宋体" w:hAnsi="宋体" w:eastAsia="宋体"/>
          <w:sz w:val="22"/>
        </w:rPr>
        <w:t>1. 冷水机组单机容量；</w:t>
      </w:r>
    </w:p>
    <w:p>
      <w:pPr>
        <w:spacing w:line="360" w:lineRule="auto"/>
        <w:ind w:left="360"/>
      </w:pPr>
      <w:r>
        <w:rPr>
          <w:rFonts w:ascii="宋体" w:hAnsi="宋体" w:eastAsia="宋体"/>
          <w:sz w:val="22"/>
        </w:rPr>
        <w:t>2. 冷水机组台数；</w:t>
      </w:r>
    </w:p>
    <w:p>
      <w:pPr>
        <w:spacing w:line="360" w:lineRule="auto"/>
        <w:ind w:left="360"/>
      </w:pPr>
      <w:r>
        <w:rPr>
          <w:rFonts w:ascii="宋体" w:hAnsi="宋体" w:eastAsia="宋体"/>
          <w:sz w:val="22"/>
        </w:rPr>
        <w:t>3. 风机单机容量；</w:t>
      </w:r>
    </w:p>
    <w:p>
      <w:pPr>
        <w:spacing w:line="360" w:lineRule="auto"/>
        <w:ind w:left="360"/>
      </w:pPr>
      <w:r>
        <w:rPr>
          <w:rFonts w:ascii="宋体" w:hAnsi="宋体" w:eastAsia="宋体"/>
          <w:sz w:val="22"/>
        </w:rPr>
        <w:t>4. 风机台数；</w:t>
      </w:r>
    </w:p>
    <w:p>
      <w:pPr>
        <w:spacing w:line="360" w:lineRule="auto"/>
        <w:ind w:left="360"/>
      </w:pPr>
      <w:r>
        <w:rPr>
          <w:rFonts w:ascii="宋体" w:hAnsi="宋体" w:eastAsia="宋体"/>
          <w:sz w:val="22"/>
        </w:rPr>
        <w:t>5. 水泵单机容量；</w:t>
      </w:r>
    </w:p>
    <w:p>
      <w:pPr>
        <w:spacing w:line="360" w:lineRule="auto"/>
        <w:ind w:left="360"/>
      </w:pPr>
      <w:r>
        <w:rPr>
          <w:rFonts w:ascii="宋体" w:hAnsi="宋体" w:eastAsia="宋体"/>
          <w:sz w:val="22"/>
        </w:rPr>
        <w:t>6. 水泵台数；</w:t>
      </w:r>
    </w:p>
    <w:p>
      <w:pPr>
        <w:spacing w:line="360" w:lineRule="auto"/>
        <w:ind w:left="360"/>
      </w:pPr>
      <w:r>
        <w:rPr>
          <w:rFonts w:ascii="宋体" w:hAnsi="宋体" w:eastAsia="宋体"/>
          <w:sz w:val="22"/>
        </w:rPr>
        <w:t>7. 空气处理机组单台额定风量；</w:t>
      </w:r>
    </w:p>
    <w:p>
      <w:pPr>
        <w:spacing w:line="360" w:lineRule="auto"/>
        <w:ind w:left="360"/>
      </w:pPr>
      <w:r>
        <w:rPr>
          <w:rFonts w:ascii="宋体" w:hAnsi="宋体" w:eastAsia="宋体"/>
          <w:sz w:val="22"/>
        </w:rPr>
        <w:t>8. 空气处理机组台数。</w:t>
      </w:r>
    </w:p>
    <w:p>
      <w:pPr>
        <w:spacing w:line="360" w:lineRule="auto" w:after="80"/>
        <w:ind w:firstLine="480"/>
      </w:pPr>
      <w:r>
        <w:rPr>
          <w:rFonts w:ascii="宋体" w:hAnsi="宋体" w:eastAsia="宋体"/>
          <w:sz w:val="22"/>
        </w:rPr>
        <w:t>各类设备候选容量根据工程常用规格设定。冷水机组候选单机容量为 120 kW 至 380 kW，台数范围为 1 至 4 台；风机候选容量为 18 kW 至 50 kW，台数范围为 1 至 6 台；水泵候选容量为 16 kW 至 40 kW，台数范围为 1 至 6 台；空气处理机组候选风量为 25000 m³/h 至 60000 m³/h，台数范围为 1 至 4 台。</w:t>
      </w:r>
    </w:p>
    <w:p>
      <w:pPr>
        <w:spacing w:line="360" w:lineRule="auto" w:after="80"/>
        <w:ind w:firstLine="480"/>
      </w:pPr>
      <w:r>
        <w:rPr>
          <w:rFonts w:ascii="宋体" w:hAnsi="宋体" w:eastAsia="宋体"/>
          <w:sz w:val="22"/>
        </w:rPr>
        <w:t>通过上述决策变量组合，可以同时描述设备容量、台数和系统匹配关系，使优化结果更符合工程选型特点。</w:t>
      </w:r>
    </w:p>
    <w:p>
      <w:r>
        <w:t>决策变量可统一表示为 X = [q_ch, n_ch, q_f, n_f, q_p, n_p, q_ahu, n_ahu]。式中，q_ch、q_f、q_p 和 q_ahu 分别表示冷水机组、风机、水泵和空气处理机组的单台额定能力或容量，n_ch、n_f、n_p 和 n_ahu 分别表示对应设备台数。由于设备规格来自候选集合，X 属于离散组合变量，而不是连续变量。</w:t>
      </w:r>
    </w:p>
    <w:p>
      <w:r>
        <w:t>采用离散变量建模的意义在于，优化结果可以直接对应工程常用设备规格，避免出现数学上可行但市场选型中不存在的容量值。同时，台数变量能够反映分级启停和部分负荷调节能力，使模型不仅比较“总容量大小”，也比较“容量组合质量”。</w:t>
      </w:r>
    </w:p>
    <w:p>
      <w:pPr>
        <w:pStyle w:val="Heading2"/>
      </w:pPr>
      <w:r>
        <w:t>5.2 设计负荷确定</w:t>
      </w:r>
    </w:p>
    <w:p>
      <w:pPr>
        <w:spacing w:line="360" w:lineRule="auto" w:after="80"/>
        <w:ind w:firstLine="480"/>
      </w:pPr>
      <w:r>
        <w:t>容量配置优化需要首先确定设计校核负荷。本文以第4章 LSTM 负荷预测结果为基础，同时结合测试集真实负荷和预测负荷，取有效负荷样本中的最大值作为容量优化的设计负荷。该处理方式体现了“预测驱动、实测校核”的原则：预测结果用于反映典型运行趋势，实测负荷用于约束可能被模型低估的峰值工况，从而避免设备容量因预测误差而偏小。</w:t>
      </w:r>
    </w:p>
    <w:p>
      <w:pPr>
        <w:spacing w:line="360" w:lineRule="auto" w:after="80"/>
        <w:ind w:firstLine="480"/>
      </w:pPr>
      <w:r>
        <w:rPr>
          <w:rFonts w:ascii="宋体" w:hAnsi="宋体" w:eastAsia="宋体"/>
          <w:sz w:val="22"/>
        </w:rPr>
        <w:t>设计负荷可表示为：</w:t>
      </w:r>
    </w:p>
    <w:p>
      <w:pPr>
        <w:spacing w:line="360" w:lineRule="auto" w:after="80"/>
        <w:ind w:firstLine="480"/>
      </w:pPr>
      <w:r>
        <w:t>Q_d = max(max(Q_pred), max(Q_test))</w:t>
      </w:r>
    </w:p>
    <w:p>
      <w:pPr>
        <w:spacing w:line="360" w:lineRule="auto" w:after="80"/>
        <w:ind w:firstLine="480"/>
      </w:pPr>
      <w:r>
        <w:t>式中，Q_d 为容量优化设计负荷，Q_pred 为 LSTM 模型预测负荷序列，Q_test 为测试集真实负荷序列。外层 max 表示在预测序列峰值和实测序列峰值之间取较大者，以保证设计负荷具有保守但不过度放大的校核意义。</w:t>
      </w:r>
    </w:p>
    <w:p>
      <w:pPr>
        <w:spacing w:line="360" w:lineRule="auto" w:after="80"/>
        <w:ind w:firstLine="480"/>
      </w:pPr>
      <w:r>
        <w:rPr>
          <w:rFonts w:ascii="宋体" w:hAnsi="宋体" w:eastAsia="宋体"/>
          <w:sz w:val="22"/>
        </w:rPr>
        <w:t>在本文计算中，设计负荷用于约束冷水机组总容量、风机总容量、水泵总容量和空气处理机组总处理能力，使优化方案能够满足高负荷工况下的运行需求。</w:t>
      </w:r>
    </w:p>
    <w:p>
      <w:r>
        <w:t>与传统直接采用经验峰值和较大安全系数的方式相比，该设计负荷确定方法更强调由运行数据刻画需求边界。其目的不是取消安全裕度，而是将安全裕度建立在预测负荷、实测峰值和工程约束共同校核的基础上，减少无依据的重复放大。</w:t>
      </w:r>
    </w:p>
    <w:p>
      <w:pPr>
        <w:pStyle w:val="Heading2"/>
      </w:pPr>
      <w:r>
        <w:t>5.3 优化目标函数</w:t>
      </w:r>
    </w:p>
    <w:p>
      <w:pPr>
        <w:spacing w:line="360" w:lineRule="auto" w:after="80"/>
        <w:ind w:firstLine="480"/>
      </w:pPr>
      <w:r>
        <w:rPr>
          <w:rFonts w:ascii="宋体" w:hAnsi="宋体" w:eastAsia="宋体"/>
          <w:sz w:val="22"/>
        </w:rPr>
        <w:t>地铁车站通风空调系统容量配置既要考虑经济性，也要考虑设备容量是否合理。若过度追求低成本，可能导致系统安全裕度不足；若过度追求高安全裕度，则会造成设备容量冗余和长期低负荷运行。因此，本文建立以全生命周期成本最小和容量冗余率最小为目标的多目标优化模型。</w:t>
      </w:r>
    </w:p>
    <w:p>
      <w:pPr>
        <w:pStyle w:val="Heading3"/>
      </w:pPr>
      <w:r>
        <w:t>5.3.1 全生命周期成本目标</w:t>
      </w:r>
    </w:p>
    <w:p>
      <w:pPr>
        <w:spacing w:line="360" w:lineRule="auto" w:after="80"/>
        <w:ind w:firstLine="480"/>
      </w:pPr>
      <w:r>
        <w:t>全生命周期成本包括设备初投资、运行电费和维护费用。考虑不同年份费用的时间价值后，其表达式为：</w:t>
      </w:r>
    </w:p>
    <w:p>
      <w:pPr>
        <w:spacing w:line="360" w:lineRule="auto" w:after="80"/>
        <w:ind w:firstLine="480"/>
      </w:pPr>
      <w:r>
        <w:t>LCC = C_0 + sum_{t=1}^{N} C_{o,t}/(1+r)^t + sum_{t=1}^{N} C_{m,t}/(1+r)^t</w:t>
      </w:r>
    </w:p>
    <w:p>
      <w:pPr>
        <w:spacing w:line="360" w:lineRule="auto" w:after="80"/>
        <w:ind w:firstLine="480"/>
      </w:pPr>
      <w:r>
        <w:t>式中，LCC 为全生命周期成本，C_0 为设备初投资，C_{o,t} 为第 t 年运行电费，C_{m,t} 为第 t 年维护费用，N 为系统计算寿命，r 为折现率。本文取 N = 15 年、r = 5%，用于反映设备全寿命周期内投资与运行成本的综合影响。</w:t>
      </w:r>
    </w:p>
    <w:p>
      <w:pPr>
        <w:spacing w:line="360" w:lineRule="auto" w:after="80"/>
        <w:ind w:firstLine="480"/>
      </w:pPr>
      <w:r>
        <w:t>设备初投资由各类设备容量、台数和单位造价共同决定，可表示为：</w:t>
      </w:r>
    </w:p>
    <w:p>
      <w:pPr>
        <w:spacing w:line="360" w:lineRule="auto" w:after="80"/>
        <w:ind w:firstLine="480"/>
      </w:pPr>
      <w:r>
        <w:t>C_0 = C_ch + C_f + C_p + C_ahu = sum_k n_k q_k u_k</w:t>
      </w:r>
    </w:p>
    <w:p>
      <w:pPr>
        <w:spacing w:line="360" w:lineRule="auto" w:after="80"/>
        <w:ind w:firstLine="480"/>
      </w:pPr>
      <w:r>
        <w:t>式中，C_ch、C_f、C_p 和 C_ahu 分别为冷水机组、风机、水泵和空气处理机组初投资；n_k 为第 k 类设备台数，q_k 为单台容量或处理能力，u_k 为单位容量造价。该表达式将设备规格和台数直接纳入成本计算，使成本目标能够随离散容量组合变化。</w:t>
      </w:r>
    </w:p>
    <w:p>
      <w:pPr>
        <w:spacing w:line="360" w:lineRule="auto" w:after="80"/>
        <w:ind w:firstLine="480"/>
      </w:pPr>
      <w:r>
        <w:rPr>
          <w:rFonts w:ascii="宋体" w:hAnsi="宋体" w:eastAsia="宋体"/>
          <w:sz w:val="22"/>
        </w:rPr>
        <w:t>运行电费根据年运行能耗、电价和折现系数计算。本文设定电价为 0.85 元/kWh，系统使用年限为 15 年，折现率为 5%。维护费用按照设备初投资的一定比例折算，维护费率取 3.5%。</w:t>
      </w:r>
    </w:p>
    <w:p>
      <w:pPr>
        <w:spacing w:line="360" w:lineRule="auto" w:after="80"/>
        <w:ind w:firstLine="480"/>
      </w:pPr>
      <w:r>
        <w:rPr>
          <w:rFonts w:ascii="宋体" w:hAnsi="宋体" w:eastAsia="宋体"/>
          <w:sz w:val="22"/>
        </w:rPr>
        <w:t>全生命周期成本优化目标为：</w:t>
      </w:r>
    </w:p>
    <w:p>
      <w:r>
        <w:t>运行电费可进一步表示为 C_{o,t} = E_t p_e，其中 E_t 为第 t 年估算运行能耗，p_e 为电价。本文电价取 0.85 元/kWh，维护费用按设备初投资的 3.5% 折算。由于本文重点在容量配置方案比较，能耗估算采用代表性负荷和部分负荷修正方法，结果主要用于方案间相对比较。</w:t>
      </w:r>
    </w:p>
    <w:p>
      <w:pPr>
        <w:spacing w:line="360" w:lineRule="auto" w:after="80"/>
        <w:ind w:firstLine="480"/>
      </w:pPr>
      <w:r>
        <w:rPr>
          <w:rFonts w:ascii="宋体" w:hAnsi="宋体" w:eastAsia="宋体"/>
          <w:sz w:val="22"/>
        </w:rPr>
        <w:t>f1 = min LCC</w:t>
      </w:r>
    </w:p>
    <w:p>
      <w:pPr>
        <w:pStyle w:val="Heading3"/>
      </w:pPr>
      <w:r>
        <w:t>5.3.2 容量冗余率目标</w:t>
      </w:r>
    </w:p>
    <w:p>
      <w:pPr>
        <w:spacing w:line="360" w:lineRule="auto" w:after="80"/>
        <w:ind w:firstLine="480"/>
      </w:pPr>
      <w:r>
        <w:t>容量冗余率用于衡量配置容量相对于负荷需求的富余程度。冗余率过大意味着设备长期偏离高效运行区间，冗余率过小则会降低异常工况下的安全裕度。对于冷源侧，容量冗余率可表示为：</w:t>
      </w:r>
    </w:p>
    <w:p>
      <w:pPr>
        <w:spacing w:line="360" w:lineRule="auto" w:after="80"/>
        <w:ind w:firstLine="480"/>
      </w:pPr>
      <w:r>
        <w:t>R_c = (C_c - alpha Q_d) / (alpha Q_d)</w:t>
      </w:r>
    </w:p>
    <w:p>
      <w:pPr>
        <w:spacing w:line="360" w:lineRule="auto" w:after="80"/>
        <w:ind w:firstLine="480"/>
      </w:pPr>
      <w:r>
        <w:t>式中，R_c 为冷源容量冗余率，C_c 为冷水机组总装机容量，Q_d 为设计负荷，alpha 为容量安全系数。分母采用 alpha Q_d，表示冗余率是在满足安全校核后的需求基础上计算，而不是相对于未修正负荷简单比较。</w:t>
      </w:r>
    </w:p>
    <w:p>
      <w:pPr>
        <w:spacing w:line="360" w:lineRule="auto" w:after="80"/>
        <w:ind w:firstLine="480"/>
      </w:pPr>
      <w:r>
        <w:rPr>
          <w:rFonts w:ascii="宋体" w:hAnsi="宋体" w:eastAsia="宋体"/>
          <w:sz w:val="22"/>
        </w:rPr>
        <w:t>由于本文优化对象不仅包括冷水机组，还包括风机、水泵和空气处理机组，因此采用综合容量冗余率评价整体配置水平。综合冗余率由冷源侧、风系统、水系统和空气处理侧冗余率平均得到：</w:t>
      </w:r>
    </w:p>
    <w:p>
      <w:pPr>
        <w:spacing w:line="360" w:lineRule="auto" w:after="80"/>
        <w:ind w:firstLine="480"/>
      </w:pPr>
      <w:r>
        <w:t>R = w_c R_c + w_f R_f + w_p R_p + w_ahu R_ahu</w:t>
      </w:r>
    </w:p>
    <w:p>
      <w:pPr>
        <w:spacing w:line="360" w:lineRule="auto" w:after="80"/>
        <w:ind w:firstLine="480"/>
      </w:pPr>
      <w:r>
        <w:t>式中，R 为综合容量冗余率，R_f 为风机容量冗余率，R_p 为水泵容量冗余率，R_ahu 为空气处理机组处理能力冗余率，w_c、w_f、w_p 和 w_ahu 为各子系统权重。本文在缺少更细粒度可靠性权重数据的条件下取等权处理，即各权重均为 0.25；后续工程应用可根据子系统重要性和故障影响程度调整权重。</w:t>
      </w:r>
    </w:p>
    <w:p>
      <w:pPr>
        <w:spacing w:line="360" w:lineRule="auto" w:after="80"/>
        <w:ind w:firstLine="480"/>
      </w:pPr>
      <w:r>
        <w:rPr>
          <w:rFonts w:ascii="宋体" w:hAnsi="宋体" w:eastAsia="宋体"/>
          <w:sz w:val="22"/>
        </w:rPr>
        <w:t>容量冗余率优化目标为：</w:t>
      </w:r>
    </w:p>
    <w:p>
      <w:pPr>
        <w:spacing w:line="360" w:lineRule="auto" w:after="80"/>
        <w:ind w:firstLine="480"/>
      </w:pPr>
      <w:r>
        <w:rPr>
          <w:rFonts w:ascii="宋体" w:hAnsi="宋体" w:eastAsia="宋体"/>
          <w:sz w:val="22"/>
        </w:rPr>
        <w:t>f2 = min R</w:t>
      </w:r>
    </w:p>
    <w:p>
      <w:pPr>
        <w:spacing w:line="360" w:lineRule="auto" w:after="80"/>
        <w:ind w:firstLine="480"/>
      </w:pPr>
      <w:r>
        <w:rPr>
          <w:rFonts w:ascii="宋体" w:hAnsi="宋体" w:eastAsia="宋体"/>
          <w:sz w:val="22"/>
        </w:rPr>
        <w:t>通过同时最小化全生命周期成本和综合容量冗余率，可以在经济性和容量合理性之间取得平衡。</w:t>
      </w:r>
    </w:p>
    <w:p>
      <w:r>
        <w:t>需要强调的是，两个目标并非完全一致。降低容量通常可以减少初投资和维护费用，但当容量组合过小或台数过少时，系统可能缺乏调节弹性；降低冗余率能够使设备更接近实际负荷需求，但也必须通过安全系数和子系统匹配约束防止容量不足。因此，本文采用多目标优化而不是将成本和冗余率简单合并为单一指标。</w:t>
      </w:r>
    </w:p>
    <w:p>
      <w:pPr>
        <w:pStyle w:val="Heading2"/>
      </w:pPr>
      <w:r>
        <w:t>5.4 工程约束条件</w:t>
      </w:r>
    </w:p>
    <w:p>
      <w:pPr>
        <w:spacing w:line="360" w:lineRule="auto" w:after="80"/>
        <w:ind w:firstLine="480"/>
      </w:pPr>
      <w:r>
        <w:rPr>
          <w:rFonts w:ascii="宋体" w:hAnsi="宋体" w:eastAsia="宋体"/>
          <w:sz w:val="22"/>
        </w:rPr>
        <w:t>容量配置优化必须满足地铁车站通风空调系统的工程运行要求。本文主要设置以下约束条件。</w:t>
      </w:r>
    </w:p>
    <w:p>
      <w:pPr>
        <w:spacing w:line="360" w:lineRule="auto" w:after="80"/>
        <w:ind w:firstLine="480"/>
      </w:pPr>
      <w:r>
        <w:t>第一，冷源容量约束。冷水机组总装机容量应不低于设计负荷与安全系数的乘积：</w:t>
      </w:r>
    </w:p>
    <w:p>
      <w:pPr>
        <w:spacing w:line="360" w:lineRule="auto" w:after="80"/>
        <w:ind w:firstLine="480"/>
      </w:pPr>
      <w:r>
        <w:t>C_c &gt;= alpha Q_d</w:t>
      </w:r>
    </w:p>
    <w:p>
      <w:pPr>
        <w:spacing w:line="360" w:lineRule="auto" w:after="80"/>
        <w:ind w:firstLine="480"/>
      </w:pPr>
      <w:r>
        <w:t>式中，alpha 为最小容量安全系数，本文取 1.03。该系数用于覆盖短时客流波动、预测误差和设备性能衰减等不确定性，同时避免传统设计中多重安全系数叠加造成的过度保守。</w:t>
      </w:r>
    </w:p>
    <w:p>
      <w:pPr>
        <w:spacing w:line="360" w:lineRule="auto" w:after="80"/>
        <w:ind w:firstLine="480"/>
      </w:pPr>
      <w:r>
        <w:rPr>
          <w:rFonts w:ascii="宋体" w:hAnsi="宋体" w:eastAsia="宋体"/>
          <w:sz w:val="22"/>
        </w:rPr>
        <w:t>第二，风机容量约束。风机总容量应满足站台区域送排风需求。本文根据设计负荷估算风机需求，并要求风机总容量不低于安全系数修正后的需求值：</w:t>
      </w:r>
    </w:p>
    <w:p>
      <w:pPr>
        <w:spacing w:line="360" w:lineRule="auto" w:after="80"/>
        <w:ind w:firstLine="480"/>
      </w:pPr>
      <w:r>
        <w:t>C_f &gt;= alpha D_f</w:t>
      </w:r>
    </w:p>
    <w:p>
      <w:pPr>
        <w:spacing w:line="360" w:lineRule="auto" w:after="80"/>
        <w:ind w:firstLine="480"/>
      </w:pPr>
      <w:r>
        <w:rPr>
          <w:rFonts w:ascii="宋体" w:hAnsi="宋体" w:eastAsia="宋体"/>
          <w:sz w:val="22"/>
        </w:rPr>
        <w:t>式中，Df 为风机容量需求。</w:t>
      </w:r>
    </w:p>
    <w:p>
      <w:pPr>
        <w:spacing w:line="360" w:lineRule="auto" w:after="80"/>
        <w:ind w:firstLine="480"/>
      </w:pPr>
      <w:r>
        <w:rPr>
          <w:rFonts w:ascii="宋体" w:hAnsi="宋体" w:eastAsia="宋体"/>
          <w:sz w:val="22"/>
        </w:rPr>
        <w:t>第三，水泵容量约束。水泵总容量应满足冷冻水和冷却水循环需求：</w:t>
      </w:r>
    </w:p>
    <w:p>
      <w:pPr>
        <w:spacing w:line="360" w:lineRule="auto" w:after="80"/>
        <w:ind w:firstLine="480"/>
      </w:pPr>
      <w:r>
        <w:t>C_p &gt;= alpha D_p</w:t>
      </w:r>
    </w:p>
    <w:p>
      <w:pPr>
        <w:spacing w:line="360" w:lineRule="auto" w:after="80"/>
        <w:ind w:firstLine="480"/>
      </w:pPr>
      <w:r>
        <w:rPr>
          <w:rFonts w:ascii="宋体" w:hAnsi="宋体" w:eastAsia="宋体"/>
          <w:sz w:val="22"/>
        </w:rPr>
        <w:t>式中，Dp 为水泵容量需求。</w:t>
      </w:r>
    </w:p>
    <w:p>
      <w:pPr>
        <w:spacing w:line="360" w:lineRule="auto" w:after="80"/>
        <w:ind w:firstLine="480"/>
      </w:pPr>
      <w:r>
        <w:rPr>
          <w:rFonts w:ascii="宋体" w:hAnsi="宋体" w:eastAsia="宋体"/>
          <w:sz w:val="22"/>
        </w:rPr>
        <w:t>第四，空气处理机组能力约束。空气处理机组总额定风量应满足站台区域空气处理需求：</w:t>
      </w:r>
    </w:p>
    <w:p>
      <w:pPr>
        <w:spacing w:line="360" w:lineRule="auto" w:after="80"/>
        <w:ind w:firstLine="480"/>
      </w:pPr>
      <w:r>
        <w:t>C_ahu &gt;= alpha D_ahu</w:t>
      </w:r>
    </w:p>
    <w:p>
      <w:pPr>
        <w:spacing w:line="360" w:lineRule="auto" w:after="80"/>
        <w:ind w:firstLine="480"/>
      </w:pPr>
      <w:r>
        <w:rPr>
          <w:rFonts w:ascii="宋体" w:hAnsi="宋体" w:eastAsia="宋体"/>
          <w:sz w:val="22"/>
        </w:rPr>
        <w:t>式中，Dahu 为空气处理机组风量需求。</w:t>
      </w:r>
    </w:p>
    <w:p>
      <w:pPr>
        <w:spacing w:line="360" w:lineRule="auto" w:after="80"/>
        <w:ind w:firstLine="480"/>
      </w:pPr>
      <w:r>
        <w:rPr>
          <w:rFonts w:ascii="宋体" w:hAnsi="宋体" w:eastAsia="宋体"/>
          <w:sz w:val="22"/>
        </w:rPr>
        <w:t>第五，设备规格与台数约束。各类设备容量和台数必须从候选规格集合中选取，不能取连续任意值。该约束反映了实际工程选型中设备标准化和离散化的特点。</w:t>
      </w:r>
    </w:p>
    <w:p>
      <w:pPr>
        <w:spacing w:line="360" w:lineRule="auto" w:after="80"/>
        <w:ind w:firstLine="480"/>
      </w:pPr>
      <w:r>
        <w:rPr>
          <w:rFonts w:ascii="宋体" w:hAnsi="宋体" w:eastAsia="宋体"/>
          <w:sz w:val="22"/>
        </w:rPr>
        <w:t>第六，系统匹配约束。冷源侧、风系统、水系统和空气处理侧应保持基本匹配，避免出现某一子系统容量明显不足而限制整体运行效果，或某一子系统容量过大而造成投资浪费。</w:t>
      </w:r>
    </w:p>
    <w:p>
      <w:r>
        <w:t>系统匹配约束可理解为对子系统能力比例的校核。若 C_f、C_p 或 C_ahu 明显低于冷源侧需求，即使冷水机组容量充足，冷量也难以有效输送至站台区域；若辅助设备容量显著高于冷源需求，则会增加初投资和低负荷运行能耗。本文通过对各子系统容量需求分别设置下限，并在目标函数中惩罚综合冗余率，形成“满足需求、避免过配”的双重控制。</w:t>
      </w:r>
    </w:p>
    <w:p>
      <w:pPr>
        <w:pStyle w:val="Heading2"/>
      </w:pPr>
      <w:r>
        <w:t>5.5 NSGA-II 多目标优化模型</w:t>
      </w:r>
    </w:p>
    <w:p>
      <w:pPr>
        <w:spacing w:before="160" w:after="160"/>
        <w:jc w:val="center"/>
      </w:pPr>
      <w:r>
        <w:rPr>
          <w:rFonts w:ascii="宋体" w:hAnsi="宋体" w:eastAsia="宋体"/>
          <w:b/>
          <w:color w:val="505050"/>
          <w:sz w:val="21"/>
        </w:rPr>
        <w:t>【图5-1 NSGA-II容量优化流程图：初始化种群 → 解码设备方案 → 约束校核 → 目标函数计算 → 非支配排序 → 拥挤距离计算 → 选择交叉变异 → Pareto解集】</w:t>
      </w:r>
    </w:p>
    <w:p>
      <w:pPr>
        <w:spacing w:line="360" w:lineRule="auto" w:after="80"/>
        <w:ind w:firstLine="480"/>
      </w:pPr>
      <w:r>
        <w:rPr>
          <w:rFonts w:ascii="宋体" w:hAnsi="宋体" w:eastAsia="宋体"/>
          <w:sz w:val="22"/>
        </w:rPr>
        <w:t>本文采用 NSGA-II 算法求解容量配置多目标优化问题。NSGA-II 通过非支配排序和拥挤距离机制，在进化过程中保留目标函数表现较优且分布较均匀的个体，适合处理容量配置中多目标、多约束和离散变量组合问题。</w:t>
      </w:r>
    </w:p>
    <w:p>
      <w:pPr>
        <w:spacing w:line="360" w:lineRule="auto" w:after="80"/>
        <w:ind w:firstLine="480"/>
      </w:pPr>
      <w:r>
        <w:rPr>
          <w:rFonts w:ascii="宋体" w:hAnsi="宋体" w:eastAsia="宋体"/>
          <w:sz w:val="22"/>
        </w:rPr>
        <w:t>本文 NSGA-II 求解流程如下：</w:t>
      </w:r>
    </w:p>
    <w:p>
      <w:pPr>
        <w:spacing w:line="360" w:lineRule="auto"/>
        <w:ind w:left="360"/>
      </w:pPr>
      <w:r>
        <w:rPr>
          <w:rFonts w:ascii="宋体" w:hAnsi="宋体" w:eastAsia="宋体"/>
          <w:sz w:val="22"/>
        </w:rPr>
        <w:t>1. 初始化种群。按照设备候选容量和台数范围随机生成初始容量配置方案；</w:t>
      </w:r>
    </w:p>
    <w:p>
      <w:pPr>
        <w:spacing w:line="360" w:lineRule="auto"/>
        <w:ind w:left="360"/>
      </w:pPr>
      <w:r>
        <w:rPr>
          <w:rFonts w:ascii="宋体" w:hAnsi="宋体" w:eastAsia="宋体"/>
          <w:sz w:val="22"/>
        </w:rPr>
        <w:t>2. 解码个体。将个体编码转换为具体设备容量和台数组合；</w:t>
      </w:r>
    </w:p>
    <w:p>
      <w:pPr>
        <w:spacing w:line="360" w:lineRule="auto"/>
        <w:ind w:left="360"/>
      </w:pPr>
      <w:r>
        <w:rPr>
          <w:rFonts w:ascii="宋体" w:hAnsi="宋体" w:eastAsia="宋体"/>
          <w:sz w:val="22"/>
        </w:rPr>
        <w:t>3. 约束校核。检查冷源、风机、水泵和空气处理机组是否满足容量安全约束；</w:t>
      </w:r>
    </w:p>
    <w:p>
      <w:pPr>
        <w:spacing w:line="360" w:lineRule="auto"/>
        <w:ind w:left="360"/>
      </w:pPr>
      <w:r>
        <w:rPr>
          <w:rFonts w:ascii="宋体" w:hAnsi="宋体" w:eastAsia="宋体"/>
          <w:sz w:val="22"/>
        </w:rPr>
        <w:t>4. 目标函数计算。分别计算方案的全生命周期成本和综合容量冗余率；</w:t>
      </w:r>
    </w:p>
    <w:p>
      <w:pPr>
        <w:spacing w:line="360" w:lineRule="auto"/>
        <w:ind w:left="360"/>
      </w:pPr>
      <w:r>
        <w:rPr>
          <w:rFonts w:ascii="宋体" w:hAnsi="宋体" w:eastAsia="宋体"/>
          <w:sz w:val="22"/>
        </w:rPr>
        <w:t>5. 非支配排序。根据两个目标函数判断个体之间的支配关系；</w:t>
      </w:r>
    </w:p>
    <w:p>
      <w:pPr>
        <w:spacing w:line="360" w:lineRule="auto"/>
        <w:ind w:left="360"/>
      </w:pPr>
      <w:r>
        <w:rPr>
          <w:rFonts w:ascii="宋体" w:hAnsi="宋体" w:eastAsia="宋体"/>
          <w:sz w:val="22"/>
        </w:rPr>
        <w:t>6. 拥挤距离计算。保持 Pareto 前沿解的多样性；</w:t>
      </w:r>
    </w:p>
    <w:p>
      <w:pPr>
        <w:spacing w:line="360" w:lineRule="auto"/>
        <w:ind w:left="360"/>
      </w:pPr>
      <w:r>
        <w:rPr>
          <w:rFonts w:ascii="宋体" w:hAnsi="宋体" w:eastAsia="宋体"/>
          <w:sz w:val="22"/>
        </w:rPr>
        <w:t>7. 选择、交叉和变异。生成新一代候选方案；</w:t>
      </w:r>
    </w:p>
    <w:p>
      <w:pPr>
        <w:spacing w:line="360" w:lineRule="auto"/>
        <w:ind w:left="360"/>
      </w:pPr>
      <w:r>
        <w:rPr>
          <w:rFonts w:ascii="宋体" w:hAnsi="宋体" w:eastAsia="宋体"/>
          <w:sz w:val="22"/>
        </w:rPr>
        <w:t>8. 迭代终止。达到最大进化代数后输出 Pareto 解集。</w:t>
      </w:r>
    </w:p>
    <w:p>
      <w:pPr>
        <w:spacing w:line="360" w:lineRule="auto" w:after="80"/>
        <w:ind w:firstLine="480"/>
      </w:pPr>
      <w:r>
        <w:rPr>
          <w:rFonts w:ascii="宋体" w:hAnsi="宋体" w:eastAsia="宋体"/>
          <w:sz w:val="22"/>
        </w:rPr>
        <w:t>本文设置种群规模为 80，最大进化代数为 150。由于设备容量和台数均为离散变量，在求解过程中对个体编码进行取整处理，并结合离散方案枚举结果补充 Pareto 候选解，以提高最终解集的可行性和工程适配性。</w:t>
      </w:r>
    </w:p>
    <w:p>
      <w:r>
        <w:t>NSGA-II 的适用性主要体现在两点。第一，容量配置目标之间存在天然冲突，算法能够输出一组 Pareto 非劣解，使设计人员看到成本降低和冗余控制之间的取舍边界。第二，设备容量和台数组合具有非连续、非凸特征，传统梯度优化方法难以直接处理，而遗传算法可以通过编码、交叉和变异搜索离散方案空间。</w:t>
      </w:r>
    </w:p>
    <w:p>
      <w:pPr>
        <w:pStyle w:val="Heading2"/>
      </w:pPr>
      <w:r>
        <w:t>5.6 基于 TOPSIS 的综合最优方案选择</w:t>
      </w:r>
    </w:p>
    <w:p>
      <w:pPr>
        <w:spacing w:line="360" w:lineRule="auto" w:after="80"/>
        <w:ind w:firstLine="480"/>
      </w:pPr>
      <w:r>
        <w:rPr>
          <w:rFonts w:ascii="宋体" w:hAnsi="宋体" w:eastAsia="宋体"/>
          <w:sz w:val="22"/>
        </w:rPr>
        <w:t>表5-3 TOPSIS排序结果</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vAlign w:val="center"/>
            <w:shd w:fill="D9EAF7"/>
          </w:tcPr>
          <w:p>
            <w:pPr>
              <w:jc w:val="center"/>
            </w:pPr>
            <w:r/>
            <w:r>
              <w:rPr>
                <w:rFonts w:ascii="宋体" w:hAnsi="宋体" w:eastAsia="宋体"/>
                <w:b/>
                <w:sz w:val="18"/>
              </w:rPr>
              <w:t>排名</w:t>
            </w:r>
          </w:p>
        </w:tc>
        <w:tc>
          <w:tcPr>
            <w:tcW w:type="dxa" w:w="2309"/>
            <w:vAlign w:val="center"/>
            <w:shd w:fill="D9EAF7"/>
          </w:tcPr>
          <w:p>
            <w:pPr>
              <w:jc w:val="center"/>
            </w:pPr>
            <w:r/>
            <w:r>
              <w:rPr>
                <w:rFonts w:ascii="宋体" w:hAnsi="宋体" w:eastAsia="宋体"/>
                <w:b/>
                <w:sz w:val="18"/>
              </w:rPr>
              <w:t>全生命周期成本/元</w:t>
            </w:r>
          </w:p>
        </w:tc>
        <w:tc>
          <w:tcPr>
            <w:tcW w:type="dxa" w:w="2309"/>
            <w:vAlign w:val="center"/>
            <w:shd w:fill="D9EAF7"/>
          </w:tcPr>
          <w:p>
            <w:pPr>
              <w:jc w:val="center"/>
            </w:pPr>
            <w:r/>
            <w:r>
              <w:rPr>
                <w:rFonts w:ascii="宋体" w:hAnsi="宋体" w:eastAsia="宋体"/>
                <w:b/>
                <w:sz w:val="18"/>
              </w:rPr>
              <w:t>综合容量冗余率</w:t>
            </w:r>
          </w:p>
        </w:tc>
        <w:tc>
          <w:tcPr>
            <w:tcW w:type="dxa" w:w="2309"/>
            <w:vAlign w:val="center"/>
            <w:shd w:fill="D9EAF7"/>
          </w:tcPr>
          <w:p>
            <w:pPr>
              <w:jc w:val="center"/>
            </w:pPr>
            <w:r/>
            <w:r>
              <w:rPr>
                <w:rFonts w:ascii="宋体" w:hAnsi="宋体" w:eastAsia="宋体"/>
                <w:b/>
                <w:sz w:val="18"/>
              </w:rPr>
              <w:t>TOPSIS得分</w:t>
            </w:r>
          </w:p>
        </w:tc>
      </w:tr>
      <w:tr>
        <w:tc>
          <w:tcPr>
            <w:tcW w:type="dxa" w:w="2309"/>
            <w:vAlign w:val="center"/>
          </w:tcPr>
          <w:p>
            <w:pPr>
              <w:jc w:val="center"/>
            </w:pPr>
            <w:r/>
            <w:r>
              <w:rPr>
                <w:rFonts w:ascii="宋体" w:hAnsi="宋体" w:eastAsia="宋体"/>
                <w:b w:val="0"/>
                <w:sz w:val="18"/>
              </w:rPr>
              <w:t>1</w:t>
            </w:r>
          </w:p>
        </w:tc>
        <w:tc>
          <w:tcPr>
            <w:tcW w:type="dxa" w:w="2309"/>
            <w:vAlign w:val="center"/>
          </w:tcPr>
          <w:p>
            <w:pPr>
              <w:jc w:val="center"/>
            </w:pPr>
            <w:r/>
            <w:r>
              <w:rPr>
                <w:rFonts w:ascii="宋体" w:hAnsi="宋体" w:eastAsia="宋体"/>
                <w:b w:val="0"/>
                <w:sz w:val="18"/>
              </w:rPr>
              <w:t>3711458</w:t>
            </w:r>
          </w:p>
        </w:tc>
        <w:tc>
          <w:tcPr>
            <w:tcW w:type="dxa" w:w="2309"/>
            <w:vAlign w:val="center"/>
          </w:tcPr>
          <w:p>
            <w:pPr>
              <w:jc w:val="center"/>
            </w:pPr>
            <w:r/>
            <w:r>
              <w:rPr>
                <w:rFonts w:ascii="宋体" w:hAnsi="宋体" w:eastAsia="宋体"/>
                <w:b w:val="0"/>
                <w:sz w:val="18"/>
              </w:rPr>
              <w:t>9.72%</w:t>
            </w:r>
          </w:p>
        </w:tc>
        <w:tc>
          <w:tcPr>
            <w:tcW w:type="dxa" w:w="2309"/>
            <w:vAlign w:val="center"/>
          </w:tcPr>
          <w:p>
            <w:pPr>
              <w:jc w:val="center"/>
            </w:pPr>
            <w:r/>
            <w:r>
              <w:rPr>
                <w:rFonts w:ascii="宋体" w:hAnsi="宋体" w:eastAsia="宋体"/>
                <w:b w:val="0"/>
                <w:sz w:val="18"/>
              </w:rPr>
              <w:t>1.0000</w:t>
            </w:r>
          </w:p>
        </w:tc>
      </w:tr>
      <w:tr>
        <w:tc>
          <w:tcPr>
            <w:tcW w:type="dxa" w:w="2309"/>
            <w:vAlign w:val="center"/>
          </w:tcPr>
          <w:p>
            <w:pPr>
              <w:jc w:val="center"/>
            </w:pPr>
            <w:r/>
            <w:r>
              <w:rPr>
                <w:rFonts w:ascii="宋体" w:hAnsi="宋体" w:eastAsia="宋体"/>
                <w:b w:val="0"/>
                <w:sz w:val="18"/>
              </w:rPr>
              <w:t>2</w:t>
            </w:r>
          </w:p>
        </w:tc>
        <w:tc>
          <w:tcPr>
            <w:tcW w:type="dxa" w:w="2309"/>
            <w:vAlign w:val="center"/>
          </w:tcPr>
          <w:p>
            <w:pPr>
              <w:jc w:val="center"/>
            </w:pPr>
            <w:r/>
            <w:r>
              <w:rPr>
                <w:rFonts w:ascii="宋体" w:hAnsi="宋体" w:eastAsia="宋体"/>
                <w:b w:val="0"/>
                <w:sz w:val="18"/>
              </w:rPr>
              <w:t>3862830</w:t>
            </w:r>
          </w:p>
        </w:tc>
        <w:tc>
          <w:tcPr>
            <w:tcW w:type="dxa" w:w="2309"/>
            <w:vAlign w:val="center"/>
          </w:tcPr>
          <w:p>
            <w:pPr>
              <w:jc w:val="center"/>
            </w:pPr>
            <w:r/>
            <w:r>
              <w:rPr>
                <w:rFonts w:ascii="宋体" w:hAnsi="宋体" w:eastAsia="宋体"/>
                <w:b w:val="0"/>
                <w:sz w:val="18"/>
              </w:rPr>
              <w:t>9.72%</w:t>
            </w:r>
          </w:p>
        </w:tc>
        <w:tc>
          <w:tcPr>
            <w:tcW w:type="dxa" w:w="2309"/>
            <w:vAlign w:val="center"/>
          </w:tcPr>
          <w:p>
            <w:pPr>
              <w:jc w:val="center"/>
            </w:pPr>
            <w:r/>
            <w:r>
              <w:rPr>
                <w:rFonts w:ascii="宋体" w:hAnsi="宋体" w:eastAsia="宋体"/>
                <w:b w:val="0"/>
                <w:sz w:val="18"/>
              </w:rPr>
              <w:t>0.9511</w:t>
            </w:r>
          </w:p>
        </w:tc>
      </w:tr>
      <w:tr>
        <w:tc>
          <w:tcPr>
            <w:tcW w:type="dxa" w:w="2309"/>
            <w:vAlign w:val="center"/>
          </w:tcPr>
          <w:p>
            <w:pPr>
              <w:jc w:val="center"/>
            </w:pPr>
            <w:r/>
            <w:r>
              <w:rPr>
                <w:rFonts w:ascii="宋体" w:hAnsi="宋体" w:eastAsia="宋体"/>
                <w:b w:val="0"/>
                <w:sz w:val="18"/>
              </w:rPr>
              <w:t>3</w:t>
            </w:r>
          </w:p>
        </w:tc>
        <w:tc>
          <w:tcPr>
            <w:tcW w:type="dxa" w:w="2309"/>
            <w:vAlign w:val="center"/>
          </w:tcPr>
          <w:p>
            <w:pPr>
              <w:jc w:val="center"/>
            </w:pPr>
            <w:r/>
            <w:r>
              <w:rPr>
                <w:rFonts w:ascii="宋体" w:hAnsi="宋体" w:eastAsia="宋体"/>
                <w:b w:val="0"/>
                <w:sz w:val="18"/>
              </w:rPr>
              <w:t>3788934</w:t>
            </w:r>
          </w:p>
        </w:tc>
        <w:tc>
          <w:tcPr>
            <w:tcW w:type="dxa" w:w="2309"/>
            <w:vAlign w:val="center"/>
          </w:tcPr>
          <w:p>
            <w:pPr>
              <w:jc w:val="center"/>
            </w:pPr>
            <w:r/>
            <w:r>
              <w:rPr>
                <w:rFonts w:ascii="宋体" w:hAnsi="宋体" w:eastAsia="宋体"/>
                <w:b w:val="0"/>
                <w:sz w:val="18"/>
              </w:rPr>
              <w:t>12.44%</w:t>
            </w:r>
          </w:p>
        </w:tc>
        <w:tc>
          <w:tcPr>
            <w:tcW w:type="dxa" w:w="2309"/>
            <w:vAlign w:val="center"/>
          </w:tcPr>
          <w:p>
            <w:pPr>
              <w:jc w:val="center"/>
            </w:pPr>
            <w:r/>
            <w:r>
              <w:rPr>
                <w:rFonts w:ascii="宋体" w:hAnsi="宋体" w:eastAsia="宋体"/>
                <w:b w:val="0"/>
                <w:sz w:val="18"/>
              </w:rPr>
              <w:t>0.8169</w:t>
            </w:r>
          </w:p>
        </w:tc>
      </w:tr>
      <w:tr>
        <w:tc>
          <w:tcPr>
            <w:tcW w:type="dxa" w:w="2309"/>
            <w:vAlign w:val="center"/>
          </w:tcPr>
          <w:p>
            <w:pPr>
              <w:jc w:val="center"/>
            </w:pPr>
            <w:r/>
            <w:r>
              <w:rPr>
                <w:rFonts w:ascii="宋体" w:hAnsi="宋体" w:eastAsia="宋体"/>
                <w:b w:val="0"/>
                <w:sz w:val="18"/>
              </w:rPr>
              <w:t>4</w:t>
            </w:r>
          </w:p>
        </w:tc>
        <w:tc>
          <w:tcPr>
            <w:tcW w:type="dxa" w:w="2309"/>
            <w:vAlign w:val="center"/>
          </w:tcPr>
          <w:p>
            <w:pPr>
              <w:jc w:val="center"/>
            </w:pPr>
            <w:r/>
            <w:r>
              <w:rPr>
                <w:rFonts w:ascii="宋体" w:hAnsi="宋体" w:eastAsia="宋体"/>
                <w:b w:val="0"/>
                <w:sz w:val="18"/>
              </w:rPr>
              <w:t>3940306</w:t>
            </w:r>
          </w:p>
        </w:tc>
        <w:tc>
          <w:tcPr>
            <w:tcW w:type="dxa" w:w="2309"/>
            <w:vAlign w:val="center"/>
          </w:tcPr>
          <w:p>
            <w:pPr>
              <w:jc w:val="center"/>
            </w:pPr>
            <w:r/>
            <w:r>
              <w:rPr>
                <w:rFonts w:ascii="宋体" w:hAnsi="宋体" w:eastAsia="宋体"/>
                <w:b w:val="0"/>
                <w:sz w:val="18"/>
              </w:rPr>
              <w:t>12.44%</w:t>
            </w:r>
          </w:p>
        </w:tc>
        <w:tc>
          <w:tcPr>
            <w:tcW w:type="dxa" w:w="2309"/>
            <w:vAlign w:val="center"/>
          </w:tcPr>
          <w:p>
            <w:pPr>
              <w:jc w:val="center"/>
            </w:pPr>
            <w:r/>
            <w:r>
              <w:rPr>
                <w:rFonts w:ascii="宋体" w:hAnsi="宋体" w:eastAsia="宋体"/>
                <w:b w:val="0"/>
                <w:sz w:val="18"/>
              </w:rPr>
              <w:t>0.8038</w:t>
            </w:r>
          </w:p>
        </w:tc>
      </w:tr>
      <w:tr>
        <w:tc>
          <w:tcPr>
            <w:tcW w:type="dxa" w:w="2309"/>
            <w:vAlign w:val="center"/>
          </w:tcPr>
          <w:p>
            <w:pPr>
              <w:jc w:val="center"/>
            </w:pPr>
            <w:r/>
            <w:r>
              <w:rPr>
                <w:rFonts w:ascii="宋体" w:hAnsi="宋体" w:eastAsia="宋体"/>
                <w:b w:val="0"/>
                <w:sz w:val="18"/>
              </w:rPr>
              <w:t>5</w:t>
            </w:r>
          </w:p>
        </w:tc>
        <w:tc>
          <w:tcPr>
            <w:tcW w:type="dxa" w:w="2309"/>
            <w:vAlign w:val="center"/>
          </w:tcPr>
          <w:p>
            <w:pPr>
              <w:jc w:val="center"/>
            </w:pPr>
            <w:r/>
            <w:r>
              <w:rPr>
                <w:rFonts w:ascii="宋体" w:hAnsi="宋体" w:eastAsia="宋体"/>
                <w:b w:val="0"/>
                <w:sz w:val="18"/>
              </w:rPr>
              <w:t>3805742</w:t>
            </w:r>
          </w:p>
        </w:tc>
        <w:tc>
          <w:tcPr>
            <w:tcW w:type="dxa" w:w="2309"/>
            <w:vAlign w:val="center"/>
          </w:tcPr>
          <w:p>
            <w:pPr>
              <w:jc w:val="center"/>
            </w:pPr>
            <w:r/>
            <w:r>
              <w:rPr>
                <w:rFonts w:ascii="宋体" w:hAnsi="宋体" w:eastAsia="宋体"/>
                <w:b w:val="0"/>
                <w:sz w:val="18"/>
              </w:rPr>
              <w:t>12.91%</w:t>
            </w:r>
          </w:p>
        </w:tc>
        <w:tc>
          <w:tcPr>
            <w:tcW w:type="dxa" w:w="2309"/>
            <w:vAlign w:val="center"/>
          </w:tcPr>
          <w:p>
            <w:pPr>
              <w:jc w:val="center"/>
            </w:pPr>
            <w:r/>
            <w:r>
              <w:rPr>
                <w:rFonts w:ascii="宋体" w:hAnsi="宋体" w:eastAsia="宋体"/>
                <w:b w:val="0"/>
                <w:sz w:val="18"/>
              </w:rPr>
              <w:t>0.7852</w:t>
            </w:r>
          </w:p>
        </w:tc>
      </w:tr>
    </w:tbl>
    <w:p/>
    <w:p>
      <w:pPr>
        <w:spacing w:line="360" w:lineRule="auto" w:after="80"/>
        <w:ind w:firstLine="480"/>
      </w:pPr>
      <w:r>
        <w:rPr>
          <w:rFonts w:ascii="宋体" w:hAnsi="宋体" w:eastAsia="宋体"/>
          <w:sz w:val="22"/>
        </w:rPr>
        <w:t>NSGA-II 输出的是一组 Pareto 非劣解，而不是单一最优解。Pareto 解集中不同方案体现了全生命周期成本和容量冗余率之间的权衡关系。为了选出一个便于工程应用的推荐方案，本文采用 TOPSIS 方法对 Pareto 解集进行综合排序。</w:t>
      </w:r>
    </w:p>
    <w:p>
      <w:pPr>
        <w:spacing w:line="360" w:lineRule="auto" w:after="80"/>
        <w:ind w:firstLine="480"/>
      </w:pPr>
      <w:r>
        <w:t>TOPSIS 方法首先对评价指标进行归一化处理，再根据指标权重构造加权决策矩阵。本文选取全生命周期成本和容量冗余率作为 TOPSIS 排序指标，二者均为成本型指标，即数值越小越优。考虑容量配置优化中经济性略高于冗余控制的重要性，本文设置全生命周期成本权重为 0.55，容量冗余率权重为 0.45。该权重设置具有一定主观性，因此本文将 TOPSIS 结果视为综合推荐方案，而不是唯一绝对最优方案；实际工程中可根据建设单位对初投资、运行成本和安全裕度的偏好开展敏感性分析。</w:t>
      </w:r>
    </w:p>
    <w:p>
      <w:pPr>
        <w:spacing w:line="360" w:lineRule="auto" w:after="80"/>
        <w:ind w:firstLine="480"/>
      </w:pPr>
      <w:r>
        <w:rPr>
          <w:rFonts w:ascii="宋体" w:hAnsi="宋体" w:eastAsia="宋体"/>
          <w:sz w:val="22"/>
        </w:rPr>
        <w:t>TOPSIS 评价步骤如下：</w:t>
      </w:r>
    </w:p>
    <w:p>
      <w:pPr>
        <w:spacing w:line="360" w:lineRule="auto"/>
        <w:ind w:left="360"/>
      </w:pPr>
      <w:r>
        <w:rPr>
          <w:rFonts w:ascii="宋体" w:hAnsi="宋体" w:eastAsia="宋体"/>
          <w:sz w:val="22"/>
        </w:rPr>
        <w:t>1. 构建 Pareto 解评价矩阵；</w:t>
      </w:r>
    </w:p>
    <w:p>
      <w:pPr>
        <w:spacing w:line="360" w:lineRule="auto"/>
        <w:ind w:left="360"/>
      </w:pPr>
      <w:r>
        <w:rPr>
          <w:rFonts w:ascii="宋体" w:hAnsi="宋体" w:eastAsia="宋体"/>
          <w:sz w:val="22"/>
        </w:rPr>
        <w:t>2. 对全生命周期成本和容量冗余率进行向量归一化；</w:t>
      </w:r>
    </w:p>
    <w:p>
      <w:pPr>
        <w:spacing w:line="360" w:lineRule="auto"/>
        <w:ind w:left="360"/>
      </w:pPr>
      <w:r>
        <w:rPr>
          <w:rFonts w:ascii="宋体" w:hAnsi="宋体" w:eastAsia="宋体"/>
          <w:sz w:val="22"/>
        </w:rPr>
        <w:t>3. 根据指标权重计算加权评价矩阵；</w:t>
      </w:r>
    </w:p>
    <w:p>
      <w:pPr>
        <w:spacing w:line="360" w:lineRule="auto"/>
        <w:ind w:left="360"/>
      </w:pPr>
      <w:r>
        <w:rPr>
          <w:rFonts w:ascii="宋体" w:hAnsi="宋体" w:eastAsia="宋体"/>
          <w:sz w:val="22"/>
        </w:rPr>
        <w:t>4. 确定正理想解和负理想解；</w:t>
      </w:r>
    </w:p>
    <w:p>
      <w:pPr>
        <w:spacing w:line="360" w:lineRule="auto"/>
        <w:ind w:left="360"/>
      </w:pPr>
      <w:r>
        <w:rPr>
          <w:rFonts w:ascii="宋体" w:hAnsi="宋体" w:eastAsia="宋体"/>
          <w:sz w:val="22"/>
        </w:rPr>
        <w:t>5. 计算各方案与正、负理想解之间的距离；</w:t>
      </w:r>
    </w:p>
    <w:p>
      <w:pPr>
        <w:spacing w:line="360" w:lineRule="auto"/>
        <w:ind w:left="360"/>
      </w:pPr>
      <w:r>
        <w:rPr>
          <w:rFonts w:ascii="宋体" w:hAnsi="宋体" w:eastAsia="宋体"/>
          <w:sz w:val="22"/>
        </w:rPr>
        <w:t>6. 计算贴近度得分；</w:t>
      </w:r>
    </w:p>
    <w:p>
      <w:pPr>
        <w:spacing w:line="360" w:lineRule="auto"/>
        <w:ind w:left="360"/>
      </w:pPr>
      <w:r>
        <w:rPr>
          <w:rFonts w:ascii="宋体" w:hAnsi="宋体" w:eastAsia="宋体"/>
          <w:sz w:val="22"/>
        </w:rPr>
        <w:t>7. 选择贴近度最高的方案作为综合最优方案。</w:t>
      </w:r>
    </w:p>
    <w:p>
      <w:pPr>
        <w:spacing w:line="360" w:lineRule="auto" w:after="80"/>
        <w:ind w:firstLine="480"/>
      </w:pPr>
      <w:r>
        <w:rPr>
          <w:rFonts w:ascii="宋体" w:hAnsi="宋体" w:eastAsia="宋体"/>
          <w:sz w:val="22"/>
        </w:rPr>
        <w:t>贴近度得分越高，说明该方案越接近理想配置方案。本文优化结果中，综合最优方案的 TOPSIS 得分最高，为 1.0000，对应全生命周期成本和容量冗余率均处于较优水平。</w:t>
      </w:r>
    </w:p>
    <w:p>
      <w:r>
        <w:t>TOPSIS 贴近度可表示为 S_i = D_i^- / (D_i^+ + D_i^-)，其中 D_i^+ 为第 i 个方案到正理想解的距离，D_i^- 为其到负理想解的距离。S_i 越大，说明方案越接近低成本、低冗余的理想状态。本文中得分 1.0000 是在当前 Pareto 候选解集和权重条件下的归一化结果，并不意味着该方案在所有可能工程条件下均为绝对最优。</w:t>
      </w:r>
    </w:p>
    <w:p>
      <w:pPr>
        <w:pStyle w:val="Heading2"/>
      </w:pPr>
      <w:r>
        <w:t>5.7 优化结果概述</w:t>
      </w:r>
    </w:p>
    <w:p>
      <w:pPr>
        <w:jc w:val="center"/>
      </w:pPr>
      <w:r>
        <w:drawing>
          <wp:inline xmlns:a="http://schemas.openxmlformats.org/drawingml/2006/main" xmlns:pic="http://schemas.openxmlformats.org/drawingml/2006/picture">
            <wp:extent cx="4860000" cy="4022180"/>
            <wp:docPr id="9" name="Picture 9"/>
            <wp:cNvGraphicFramePr>
              <a:graphicFrameLocks noChangeAspect="1"/>
            </wp:cNvGraphicFramePr>
            <a:graphic>
              <a:graphicData uri="http://schemas.openxmlformats.org/drawingml/2006/picture">
                <pic:pic>
                  <pic:nvPicPr>
                    <pic:cNvPr id="0" name="step4_pareto_front.png"/>
                    <pic:cNvPicPr/>
                  </pic:nvPicPr>
                  <pic:blipFill>
                    <a:blip r:embed="rId17"/>
                    <a:stretch>
                      <a:fillRect/>
                    </a:stretch>
                  </pic:blipFill>
                  <pic:spPr>
                    <a:xfrm>
                      <a:off x="0" y="0"/>
                      <a:ext cx="4860000" cy="4022180"/>
                    </a:xfrm>
                    <a:prstGeom prst="rect"/>
                  </pic:spPr>
                </pic:pic>
              </a:graphicData>
            </a:graphic>
          </wp:inline>
        </w:drawing>
      </w:r>
    </w:p>
    <w:p>
      <w:pPr>
        <w:spacing w:before="160" w:after="160"/>
        <w:jc w:val="center"/>
      </w:pPr>
      <w:r>
        <w:rPr>
          <w:rFonts w:ascii="宋体" w:hAnsi="宋体" w:eastAsia="宋体"/>
          <w:b/>
          <w:color w:val="505050"/>
          <w:sz w:val="21"/>
        </w:rPr>
        <w:t>【图5-2 Pareto前沿图】</w:t>
      </w:r>
    </w:p>
    <w:p>
      <w:pPr>
        <w:spacing w:line="360" w:lineRule="auto" w:after="80"/>
        <w:ind w:firstLine="480"/>
      </w:pPr>
      <w:r>
        <w:rPr>
          <w:rFonts w:ascii="宋体" w:hAnsi="宋体" w:eastAsia="宋体"/>
          <w:sz w:val="22"/>
        </w:rPr>
        <w:t>Pareto 前沿能够直观反映全生命周期成本与容量冗余率之间的权衡关系。一般而言，容量冗余率越低，设备配置越接近负荷需求，但部分方案可能需要更复杂的设备组合；生命周期成本越低，经济性越好，但也需要保证安全裕度和系统匹配。TOPSIS 方法的作用就是在这两类指标之间进行综合折中，选择更适合工程应用的方案。</w:t>
      </w:r>
    </w:p>
    <w:p>
      <w:pPr>
        <w:spacing w:line="360" w:lineRule="auto" w:after="80"/>
        <w:ind w:firstLine="480"/>
      </w:pPr>
      <w:r>
        <w:rPr>
          <w:rFonts w:ascii="宋体" w:hAnsi="宋体" w:eastAsia="宋体"/>
          <w:sz w:val="22"/>
        </w:rPr>
        <w:t>根据 NSGA-II 和 TOPSIS 计算结果，本文得到一组 Pareto 候选方案，并从中选出综合最优容量配置方案。基准方案与优化方案的主要结果如表5-1所示。</w:t>
      </w:r>
    </w:p>
    <w:p>
      <w:pPr>
        <w:spacing w:line="360" w:lineRule="auto" w:after="80"/>
        <w:ind w:firstLine="480"/>
      </w:pPr>
      <w:r>
        <w:rPr>
          <w:rFonts w:ascii="宋体" w:hAnsi="宋体" w:eastAsia="宋体"/>
          <w:sz w:val="22"/>
        </w:rPr>
        <w:t>表5-1 基准方案与优化方案主要指标</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vAlign w:val="center"/>
            <w:shd w:fill="D9EAF7"/>
          </w:tcPr>
          <w:p>
            <w:pPr>
              <w:jc w:val="center"/>
            </w:pPr>
            <w:r/>
            <w:r>
              <w:rPr>
                <w:rFonts w:ascii="宋体" w:hAnsi="宋体" w:eastAsia="宋体"/>
                <w:b/>
                <w:sz w:val="18"/>
              </w:rPr>
              <w:t>方案</w:t>
            </w:r>
          </w:p>
        </w:tc>
        <w:tc>
          <w:tcPr>
            <w:tcW w:type="dxa" w:w="2309"/>
            <w:vAlign w:val="center"/>
            <w:shd w:fill="D9EAF7"/>
          </w:tcPr>
          <w:p>
            <w:pPr>
              <w:jc w:val="center"/>
            </w:pPr>
            <w:r/>
            <w:r>
              <w:rPr>
                <w:rFonts w:ascii="宋体" w:hAnsi="宋体" w:eastAsia="宋体"/>
                <w:b/>
                <w:sz w:val="18"/>
              </w:rPr>
              <w:t>冷源总容量/kW</w:t>
            </w:r>
          </w:p>
        </w:tc>
        <w:tc>
          <w:tcPr>
            <w:tcW w:type="dxa" w:w="2309"/>
            <w:vAlign w:val="center"/>
            <w:shd w:fill="D9EAF7"/>
          </w:tcPr>
          <w:p>
            <w:pPr>
              <w:jc w:val="center"/>
            </w:pPr>
            <w:r/>
            <w:r>
              <w:rPr>
                <w:rFonts w:ascii="宋体" w:hAnsi="宋体" w:eastAsia="宋体"/>
                <w:b/>
                <w:sz w:val="18"/>
              </w:rPr>
              <w:t>全生命周期成本/元</w:t>
            </w:r>
          </w:p>
        </w:tc>
        <w:tc>
          <w:tcPr>
            <w:tcW w:type="dxa" w:w="2309"/>
            <w:vAlign w:val="center"/>
            <w:shd w:fill="D9EAF7"/>
          </w:tcPr>
          <w:p>
            <w:pPr>
              <w:jc w:val="center"/>
            </w:pPr>
            <w:r/>
            <w:r>
              <w:rPr>
                <w:rFonts w:ascii="宋体" w:hAnsi="宋体" w:eastAsia="宋体"/>
                <w:b/>
                <w:sz w:val="18"/>
              </w:rPr>
              <w:t>综合容量冗余率</w:t>
            </w:r>
          </w:p>
        </w:tc>
      </w:tr>
      <w:tr>
        <w:tc>
          <w:tcPr>
            <w:tcW w:type="dxa" w:w="2309"/>
            <w:vAlign w:val="center"/>
          </w:tcPr>
          <w:p>
            <w:pPr>
              <w:jc w:val="center"/>
            </w:pPr>
            <w:r/>
            <w:r>
              <w:rPr>
                <w:rFonts w:ascii="宋体" w:hAnsi="宋体" w:eastAsia="宋体"/>
                <w:b w:val="0"/>
                <w:sz w:val="18"/>
              </w:rPr>
              <w:t>基准方案</w:t>
            </w:r>
          </w:p>
        </w:tc>
        <w:tc>
          <w:tcPr>
            <w:tcW w:type="dxa" w:w="2309"/>
            <w:vAlign w:val="center"/>
          </w:tcPr>
          <w:p>
            <w:pPr>
              <w:jc w:val="center"/>
            </w:pPr>
            <w:r/>
            <w:r>
              <w:rPr>
                <w:rFonts w:ascii="宋体" w:hAnsi="宋体" w:eastAsia="宋体"/>
                <w:b w:val="0"/>
                <w:sz w:val="18"/>
              </w:rPr>
              <w:t>440</w:t>
            </w:r>
          </w:p>
        </w:tc>
        <w:tc>
          <w:tcPr>
            <w:tcW w:type="dxa" w:w="2309"/>
            <w:vAlign w:val="center"/>
          </w:tcPr>
          <w:p>
            <w:pPr>
              <w:jc w:val="center"/>
            </w:pPr>
            <w:r/>
            <w:r>
              <w:rPr>
                <w:rFonts w:ascii="宋体" w:hAnsi="宋体" w:eastAsia="宋体"/>
                <w:b w:val="0"/>
                <w:sz w:val="18"/>
              </w:rPr>
              <w:t>4711887</w:t>
            </w:r>
          </w:p>
        </w:tc>
        <w:tc>
          <w:tcPr>
            <w:tcW w:type="dxa" w:w="2309"/>
            <w:vAlign w:val="center"/>
          </w:tcPr>
          <w:p>
            <w:pPr>
              <w:jc w:val="center"/>
            </w:pPr>
            <w:r/>
            <w:r>
              <w:rPr>
                <w:rFonts w:ascii="宋体" w:hAnsi="宋体" w:eastAsia="宋体"/>
                <w:b w:val="0"/>
                <w:sz w:val="18"/>
              </w:rPr>
              <w:t>33.40%</w:t>
            </w:r>
          </w:p>
        </w:tc>
      </w:tr>
      <w:tr>
        <w:tc>
          <w:tcPr>
            <w:tcW w:type="dxa" w:w="2309"/>
            <w:vAlign w:val="center"/>
          </w:tcPr>
          <w:p>
            <w:pPr>
              <w:jc w:val="center"/>
            </w:pPr>
            <w:r/>
            <w:r>
              <w:rPr>
                <w:rFonts w:ascii="宋体" w:hAnsi="宋体" w:eastAsia="宋体"/>
                <w:b w:val="0"/>
                <w:sz w:val="18"/>
              </w:rPr>
              <w:t>优化方案</w:t>
            </w:r>
          </w:p>
        </w:tc>
        <w:tc>
          <w:tcPr>
            <w:tcW w:type="dxa" w:w="2309"/>
            <w:vAlign w:val="center"/>
          </w:tcPr>
          <w:p>
            <w:pPr>
              <w:jc w:val="center"/>
            </w:pPr>
            <w:r/>
            <w:r>
              <w:rPr>
                <w:rFonts w:ascii="宋体" w:hAnsi="宋体" w:eastAsia="宋体"/>
                <w:b w:val="0"/>
                <w:sz w:val="18"/>
              </w:rPr>
              <w:t>360</w:t>
            </w:r>
          </w:p>
        </w:tc>
        <w:tc>
          <w:tcPr>
            <w:tcW w:type="dxa" w:w="2309"/>
            <w:vAlign w:val="center"/>
          </w:tcPr>
          <w:p>
            <w:pPr>
              <w:jc w:val="center"/>
            </w:pPr>
            <w:r/>
            <w:r>
              <w:rPr>
                <w:rFonts w:ascii="宋体" w:hAnsi="宋体" w:eastAsia="宋体"/>
                <w:b w:val="0"/>
                <w:sz w:val="18"/>
              </w:rPr>
              <w:t>3711458</w:t>
            </w:r>
          </w:p>
        </w:tc>
        <w:tc>
          <w:tcPr>
            <w:tcW w:type="dxa" w:w="2309"/>
            <w:vAlign w:val="center"/>
          </w:tcPr>
          <w:p>
            <w:pPr>
              <w:jc w:val="center"/>
            </w:pPr>
            <w:r/>
            <w:r>
              <w:rPr>
                <w:rFonts w:ascii="宋体" w:hAnsi="宋体" w:eastAsia="宋体"/>
                <w:b w:val="0"/>
                <w:sz w:val="18"/>
              </w:rPr>
              <w:t>9.72%</w:t>
            </w:r>
          </w:p>
        </w:tc>
      </w:tr>
    </w:tbl>
    <w:p/>
    <w:p>
      <w:pPr>
        <w:spacing w:line="360" w:lineRule="auto" w:after="80"/>
        <w:ind w:firstLine="480"/>
      </w:pPr>
      <w:r>
        <w:rPr>
          <w:rFonts w:ascii="宋体" w:hAnsi="宋体" w:eastAsia="宋体"/>
          <w:sz w:val="22"/>
        </w:rPr>
        <w:t>由表5-1可知，优化方案的冷源总容量由基准方案的 440 kW 降低至 360 kW，综合容量冗余率由 33.40% 降低至 9.72%。同时，全生命周期成本由 471.19 万元降低至 371.15 万元。说明本文建立的容量配置优化模型能够在满足负荷需求和工程约束的前提下，有效降低设备容量冗余和生命周期经济成本。</w:t>
      </w:r>
    </w:p>
    <w:p>
      <w:r>
        <w:t>从优化逻辑看，容量由 440 kW 降至 360 kW 并非简单削减设备规模，而是在预测负荷、设计负荷、安全系数和子系统匹配约束共同作用下，对传统基准方案中不必要冗余的再分配。综合容量冗余率降至 9.72% 表明优化方案仍保留一定安全裕度，但已显著减少长期低负荷运行风险。全生命周期成本降低则同时来自设备初投资减少和部分负荷运行效率改善。</w:t>
      </w:r>
    </w:p>
    <w:p>
      <w:r>
        <w:t>因此，第5章优化结果为第6章工程评价提供了清晰的解释基础：优化方案的价值不只体现在总容量更小，还体现在容量、台数、成本和冗余水平之间形成了更协调的组合。</w:t>
      </w:r>
    </w:p>
    <w:p>
      <w:pPr>
        <w:spacing w:line="360" w:lineRule="auto" w:after="80"/>
        <w:ind w:firstLine="480"/>
      </w:pPr>
      <w:r>
        <w:rPr>
          <w:rFonts w:ascii="宋体" w:hAnsi="宋体" w:eastAsia="宋体"/>
          <w:sz w:val="22"/>
        </w:rPr>
        <w:t>需要说明的是，本节主要从模型求解角度给出优化结果概述，关于优化方案在初投资、年运行能耗、节能率和工程可行性方面的详细评价，将在第6章中进一步展开。</w:t>
      </w:r>
    </w:p>
    <w:p>
      <w:r>
        <w:t>同时，本文能耗模型仍属于方案比较层面的简化估算，尚未建立逐时设备效率曲线和完整控制策略仿真。因此，第5章输出的推荐方案应理解为容量配置优化结果，第6章的节能率和成本降低结果主要用于相对比较，实际工程应用前仍需结合设备样本、控制策略和全年运行数据进一步校核。</w:t>
      </w:r>
    </w:p>
    <w:p>
      <w:pPr>
        <w:pStyle w:val="Heading2"/>
      </w:pPr>
      <w:r>
        <w:t>5.8 本章小结</w:t>
      </w:r>
    </w:p>
    <w:p>
      <w:pPr>
        <w:spacing w:line="360" w:lineRule="auto" w:after="80"/>
        <w:ind w:firstLine="480"/>
      </w:pPr>
      <w:r>
        <w:rPr>
          <w:rFonts w:ascii="宋体" w:hAnsi="宋体" w:eastAsia="宋体"/>
          <w:sz w:val="22"/>
        </w:rPr>
        <w:t>本章在第4章负荷预测结果基础上，构建了地铁车站通风空调系统容量配置多目标优化模型。首先明确了冷水机组、风机、水泵和空气处理机组的容量及台数组合为优化对象，并建立了以全生命周期成本最小和综合容量冗余率最小为目标的优化函数。随后，结合负荷满足、设备容量边界、台数组合和系统匹配等工程约束，采用 NSGA-II 算法求解 Pareto 解集，并利用 TOPSIS 方法选取综合最优方案。计算结果表明，优化方案相较基准方案能够明显降低冷源容量、综合容量冗余率和全生命周期成本，为后续工程评价提供了基础。</w:t>
      </w:r>
    </w:p>
    <w:p>
      <w:pPr>
        <w:pStyle w:val="Heading1"/>
      </w:pPr>
      <w:r>
        <w:t>第6章 优化结果分析与工程评价</w:t>
      </w:r>
    </w:p>
    <w:p>
      <w:pPr>
        <w:pStyle w:val="Heading2"/>
      </w:pPr>
      <w:r>
        <w:t>6.1 基准方案与优化方案对比</w:t>
      </w:r>
    </w:p>
    <w:p>
      <w:pPr>
        <w:jc w:val="center"/>
      </w:pPr>
      <w:r>
        <w:drawing>
          <wp:inline xmlns:a="http://schemas.openxmlformats.org/drawingml/2006/main" xmlns:pic="http://schemas.openxmlformats.org/drawingml/2006/picture">
            <wp:extent cx="4860000" cy="3848046"/>
            <wp:docPr id="10" name="Picture 10"/>
            <wp:cNvGraphicFramePr>
              <a:graphicFrameLocks noChangeAspect="1"/>
            </wp:cNvGraphicFramePr>
            <a:graphic>
              <a:graphicData uri="http://schemas.openxmlformats.org/drawingml/2006/picture">
                <pic:pic>
                  <pic:nvPicPr>
                    <pic:cNvPr id="0" name="step4_scheme_comparison.png"/>
                    <pic:cNvPicPr/>
                  </pic:nvPicPr>
                  <pic:blipFill>
                    <a:blip r:embed="rId18"/>
                    <a:stretch>
                      <a:fillRect/>
                    </a:stretch>
                  </pic:blipFill>
                  <pic:spPr>
                    <a:xfrm>
                      <a:off x="0" y="0"/>
                      <a:ext cx="4860000" cy="3848046"/>
                    </a:xfrm>
                    <a:prstGeom prst="rect"/>
                  </pic:spPr>
                </pic:pic>
              </a:graphicData>
            </a:graphic>
          </wp:inline>
        </w:drawing>
      </w:r>
    </w:p>
    <w:p>
      <w:pPr>
        <w:spacing w:before="160" w:after="160"/>
        <w:jc w:val="center"/>
      </w:pPr>
      <w:r>
        <w:rPr>
          <w:rFonts w:ascii="宋体" w:hAnsi="宋体" w:eastAsia="宋体"/>
          <w:b/>
          <w:color w:val="505050"/>
          <w:sz w:val="21"/>
        </w:rPr>
        <w:t>【图6-1 基准方案与优化方案对比图】</w:t>
      </w:r>
    </w:p>
    <w:p>
      <w:pPr>
        <w:spacing w:line="360" w:lineRule="auto" w:after="80"/>
        <w:ind w:firstLine="480"/>
      </w:pPr>
      <w:r>
        <w:rPr>
          <w:rFonts w:ascii="宋体" w:hAnsi="宋体" w:eastAsia="宋体"/>
          <w:sz w:val="22"/>
        </w:rPr>
        <w:t>表6-2 设备配置明细表</w:t>
      </w:r>
    </w:p>
    <w:tbl>
      <w:tblPr>
        <w:tblStyle w:val="TableGrid"/>
        <w:tblW w:type="auto" w:w="0"/>
        <w:jc w:val="center"/>
        <w:tblLook w:firstColumn="1" w:firstRow="1" w:lastColumn="0" w:lastRow="0" w:noHBand="0" w:noVBand="1" w:val="04A0"/>
      </w:tblPr>
      <w:tblGrid>
        <w:gridCol w:w="1847"/>
        <w:gridCol w:w="1847"/>
        <w:gridCol w:w="1847"/>
        <w:gridCol w:w="1847"/>
        <w:gridCol w:w="1847"/>
      </w:tblGrid>
      <w:tr>
        <w:tc>
          <w:tcPr>
            <w:tcW w:type="dxa" w:w="1847"/>
            <w:vAlign w:val="center"/>
            <w:shd w:fill="D9EAF7"/>
          </w:tcPr>
          <w:p>
            <w:pPr>
              <w:jc w:val="center"/>
            </w:pPr>
            <w:r/>
            <w:r>
              <w:rPr>
                <w:rFonts w:ascii="宋体" w:hAnsi="宋体" w:eastAsia="宋体"/>
                <w:b/>
                <w:sz w:val="18"/>
              </w:rPr>
              <w:t>方案</w:t>
            </w:r>
          </w:p>
        </w:tc>
        <w:tc>
          <w:tcPr>
            <w:tcW w:type="dxa" w:w="1847"/>
            <w:vAlign w:val="center"/>
            <w:shd w:fill="D9EAF7"/>
          </w:tcPr>
          <w:p>
            <w:pPr>
              <w:jc w:val="center"/>
            </w:pPr>
            <w:r/>
            <w:r>
              <w:rPr>
                <w:rFonts w:ascii="宋体" w:hAnsi="宋体" w:eastAsia="宋体"/>
                <w:b/>
                <w:sz w:val="18"/>
              </w:rPr>
              <w:t>冷水机组</w:t>
            </w:r>
          </w:p>
        </w:tc>
        <w:tc>
          <w:tcPr>
            <w:tcW w:type="dxa" w:w="1847"/>
            <w:vAlign w:val="center"/>
            <w:shd w:fill="D9EAF7"/>
          </w:tcPr>
          <w:p>
            <w:pPr>
              <w:jc w:val="center"/>
            </w:pPr>
            <w:r/>
            <w:r>
              <w:rPr>
                <w:rFonts w:ascii="宋体" w:hAnsi="宋体" w:eastAsia="宋体"/>
                <w:b/>
                <w:sz w:val="18"/>
              </w:rPr>
              <w:t>风机</w:t>
            </w:r>
          </w:p>
        </w:tc>
        <w:tc>
          <w:tcPr>
            <w:tcW w:type="dxa" w:w="1847"/>
            <w:vAlign w:val="center"/>
            <w:shd w:fill="D9EAF7"/>
          </w:tcPr>
          <w:p>
            <w:pPr>
              <w:jc w:val="center"/>
            </w:pPr>
            <w:r/>
            <w:r>
              <w:rPr>
                <w:rFonts w:ascii="宋体" w:hAnsi="宋体" w:eastAsia="宋体"/>
                <w:b/>
                <w:sz w:val="18"/>
              </w:rPr>
              <w:t>水泵</w:t>
            </w:r>
          </w:p>
        </w:tc>
        <w:tc>
          <w:tcPr>
            <w:tcW w:type="dxa" w:w="1847"/>
            <w:vAlign w:val="center"/>
            <w:shd w:fill="D9EAF7"/>
          </w:tcPr>
          <w:p>
            <w:pPr>
              <w:jc w:val="center"/>
            </w:pPr>
            <w:r/>
            <w:r>
              <w:rPr>
                <w:rFonts w:ascii="宋体" w:hAnsi="宋体" w:eastAsia="宋体"/>
                <w:b/>
                <w:sz w:val="18"/>
              </w:rPr>
              <w:t>空气处理机组</w:t>
            </w:r>
          </w:p>
        </w:tc>
      </w:tr>
      <w:tr>
        <w:tc>
          <w:tcPr>
            <w:tcW w:type="dxa" w:w="1847"/>
            <w:vAlign w:val="center"/>
          </w:tcPr>
          <w:p>
            <w:pPr>
              <w:jc w:val="center"/>
            </w:pPr>
            <w:r/>
            <w:r>
              <w:rPr>
                <w:rFonts w:ascii="宋体" w:hAnsi="宋体" w:eastAsia="宋体"/>
                <w:b w:val="0"/>
                <w:sz w:val="18"/>
              </w:rPr>
              <w:t>基准方案</w:t>
            </w:r>
          </w:p>
        </w:tc>
        <w:tc>
          <w:tcPr>
            <w:tcW w:type="dxa" w:w="1847"/>
            <w:vAlign w:val="center"/>
          </w:tcPr>
          <w:p>
            <w:pPr>
              <w:jc w:val="center"/>
            </w:pPr>
            <w:r/>
            <w:r>
              <w:rPr>
                <w:rFonts w:ascii="宋体" w:hAnsi="宋体" w:eastAsia="宋体"/>
                <w:b w:val="0"/>
                <w:sz w:val="18"/>
              </w:rPr>
              <w:t>220 kW × 2 台</w:t>
            </w:r>
          </w:p>
        </w:tc>
        <w:tc>
          <w:tcPr>
            <w:tcW w:type="dxa" w:w="1847"/>
            <w:vAlign w:val="center"/>
          </w:tcPr>
          <w:p>
            <w:pPr>
              <w:jc w:val="center"/>
            </w:pPr>
            <w:r/>
            <w:r>
              <w:rPr>
                <w:rFonts w:ascii="宋体" w:hAnsi="宋体" w:eastAsia="宋体"/>
                <w:b w:val="0"/>
                <w:sz w:val="18"/>
              </w:rPr>
              <w:t>50 kW × 1 台</w:t>
            </w:r>
          </w:p>
        </w:tc>
        <w:tc>
          <w:tcPr>
            <w:tcW w:type="dxa" w:w="1847"/>
            <w:vAlign w:val="center"/>
          </w:tcPr>
          <w:p>
            <w:pPr>
              <w:jc w:val="center"/>
            </w:pPr>
            <w:r/>
            <w:r>
              <w:rPr>
                <w:rFonts w:ascii="宋体" w:hAnsi="宋体" w:eastAsia="宋体"/>
                <w:b w:val="0"/>
                <w:sz w:val="18"/>
              </w:rPr>
              <w:t>36 kW × 1 台</w:t>
            </w:r>
          </w:p>
        </w:tc>
        <w:tc>
          <w:tcPr>
            <w:tcW w:type="dxa" w:w="1847"/>
            <w:vAlign w:val="center"/>
          </w:tcPr>
          <w:p>
            <w:pPr>
              <w:jc w:val="center"/>
            </w:pPr>
            <w:r/>
            <w:r>
              <w:rPr>
                <w:rFonts w:ascii="宋体" w:hAnsi="宋体" w:eastAsia="宋体"/>
                <w:b w:val="0"/>
                <w:sz w:val="18"/>
              </w:rPr>
              <w:t>50000 m³/h × 1 台</w:t>
            </w:r>
          </w:p>
        </w:tc>
      </w:tr>
      <w:tr>
        <w:tc>
          <w:tcPr>
            <w:tcW w:type="dxa" w:w="1847"/>
            <w:vAlign w:val="center"/>
          </w:tcPr>
          <w:p>
            <w:pPr>
              <w:jc w:val="center"/>
            </w:pPr>
            <w:r/>
            <w:r>
              <w:rPr>
                <w:rFonts w:ascii="宋体" w:hAnsi="宋体" w:eastAsia="宋体"/>
                <w:b w:val="0"/>
                <w:sz w:val="18"/>
              </w:rPr>
              <w:t>优化方案</w:t>
            </w:r>
          </w:p>
        </w:tc>
        <w:tc>
          <w:tcPr>
            <w:tcW w:type="dxa" w:w="1847"/>
            <w:vAlign w:val="center"/>
          </w:tcPr>
          <w:p>
            <w:pPr>
              <w:jc w:val="center"/>
            </w:pPr>
            <w:r/>
            <w:r>
              <w:rPr>
                <w:rFonts w:ascii="宋体" w:hAnsi="宋体" w:eastAsia="宋体"/>
                <w:b w:val="0"/>
                <w:sz w:val="18"/>
              </w:rPr>
              <w:t>120 kW × 3 台</w:t>
            </w:r>
          </w:p>
        </w:tc>
        <w:tc>
          <w:tcPr>
            <w:tcW w:type="dxa" w:w="1847"/>
            <w:vAlign w:val="center"/>
          </w:tcPr>
          <w:p>
            <w:pPr>
              <w:jc w:val="center"/>
            </w:pPr>
            <w:r/>
            <w:r>
              <w:rPr>
                <w:rFonts w:ascii="宋体" w:hAnsi="宋体" w:eastAsia="宋体"/>
                <w:b w:val="0"/>
                <w:sz w:val="18"/>
              </w:rPr>
              <w:t>40 kW × 1 台</w:t>
            </w:r>
          </w:p>
        </w:tc>
        <w:tc>
          <w:tcPr>
            <w:tcW w:type="dxa" w:w="1847"/>
            <w:vAlign w:val="center"/>
          </w:tcPr>
          <w:p>
            <w:pPr>
              <w:jc w:val="center"/>
            </w:pPr>
            <w:r/>
            <w:r>
              <w:rPr>
                <w:rFonts w:ascii="宋体" w:hAnsi="宋体" w:eastAsia="宋体"/>
                <w:b w:val="0"/>
                <w:sz w:val="18"/>
              </w:rPr>
              <w:t>28 kW × 1 台</w:t>
            </w:r>
          </w:p>
        </w:tc>
        <w:tc>
          <w:tcPr>
            <w:tcW w:type="dxa" w:w="1847"/>
            <w:vAlign w:val="center"/>
          </w:tcPr>
          <w:p>
            <w:pPr>
              <w:jc w:val="center"/>
            </w:pPr>
            <w:r/>
            <w:r>
              <w:rPr>
                <w:rFonts w:ascii="宋体" w:hAnsi="宋体" w:eastAsia="宋体"/>
                <w:b w:val="0"/>
                <w:sz w:val="18"/>
              </w:rPr>
              <w:t>45000 m³/h × 1 台</w:t>
            </w:r>
          </w:p>
        </w:tc>
      </w:tr>
    </w:tbl>
    <w:p/>
    <w:p>
      <w:pPr>
        <w:spacing w:line="360" w:lineRule="auto" w:after="80"/>
        <w:ind w:firstLine="480"/>
      </w:pPr>
      <w:r>
        <w:rPr>
          <w:rFonts w:ascii="宋体" w:hAnsi="宋体" w:eastAsia="宋体"/>
          <w:sz w:val="22"/>
        </w:rPr>
        <w:t>为了评价本文容量配置优化方法的实际效果，本章将第5章得到的优化方案与传统基准方案进行对比分析。基准方案按照设计负荷叠加常规安全裕度进行配置，体现传统工程设计中偏保守的容量选型方式；优化方案则由 NSGA-II 多目标优化和 TOPSIS 综合排序得到，在满足负荷需求和工程约束的前提下兼顾全生命周期成本和容量冗余率。</w:t>
      </w:r>
    </w:p>
    <w:p>
      <w:pPr>
        <w:spacing w:line="360" w:lineRule="auto" w:after="80"/>
        <w:ind w:firstLine="480"/>
      </w:pPr>
      <w:r>
        <w:rPr>
          <w:rFonts w:ascii="宋体" w:hAnsi="宋体" w:eastAsia="宋体"/>
          <w:sz w:val="22"/>
        </w:rPr>
        <w:t>基准方案与优化方案的主要评价指标如表6-1所示。</w:t>
      </w:r>
    </w:p>
    <w:p>
      <w:pPr>
        <w:spacing w:line="360" w:lineRule="auto" w:after="80"/>
        <w:ind w:firstLine="480"/>
      </w:pPr>
      <w:r>
        <w:rPr>
          <w:rFonts w:ascii="宋体" w:hAnsi="宋体" w:eastAsia="宋体"/>
          <w:sz w:val="22"/>
        </w:rPr>
        <w:t>表6-1 基准方案与优化方案综合对比</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vAlign w:val="center"/>
            <w:shd w:fill="D9EAF7"/>
          </w:tcPr>
          <w:p>
            <w:pPr>
              <w:jc w:val="center"/>
            </w:pPr>
            <w:r/>
            <w:r>
              <w:rPr>
                <w:rFonts w:ascii="宋体" w:hAnsi="宋体" w:eastAsia="宋体"/>
                <w:b/>
                <w:sz w:val="18"/>
              </w:rPr>
              <w:t>指标</w:t>
            </w:r>
          </w:p>
        </w:tc>
        <w:tc>
          <w:tcPr>
            <w:tcW w:type="dxa" w:w="2309"/>
            <w:vAlign w:val="center"/>
            <w:shd w:fill="D9EAF7"/>
          </w:tcPr>
          <w:p>
            <w:pPr>
              <w:jc w:val="center"/>
            </w:pPr>
            <w:r/>
            <w:r>
              <w:rPr>
                <w:rFonts w:ascii="宋体" w:hAnsi="宋体" w:eastAsia="宋体"/>
                <w:b/>
                <w:sz w:val="18"/>
              </w:rPr>
              <w:t>基准方案</w:t>
            </w:r>
          </w:p>
        </w:tc>
        <w:tc>
          <w:tcPr>
            <w:tcW w:type="dxa" w:w="2309"/>
            <w:vAlign w:val="center"/>
            <w:shd w:fill="D9EAF7"/>
          </w:tcPr>
          <w:p>
            <w:pPr>
              <w:jc w:val="center"/>
            </w:pPr>
            <w:r/>
            <w:r>
              <w:rPr>
                <w:rFonts w:ascii="宋体" w:hAnsi="宋体" w:eastAsia="宋体"/>
                <w:b/>
                <w:sz w:val="18"/>
              </w:rPr>
              <w:t>优化方案</w:t>
            </w:r>
          </w:p>
        </w:tc>
        <w:tc>
          <w:tcPr>
            <w:tcW w:type="dxa" w:w="2309"/>
            <w:vAlign w:val="center"/>
            <w:shd w:fill="D9EAF7"/>
          </w:tcPr>
          <w:p>
            <w:pPr>
              <w:jc w:val="center"/>
            </w:pPr>
            <w:r/>
            <w:r>
              <w:rPr>
                <w:rFonts w:ascii="宋体" w:hAnsi="宋体" w:eastAsia="宋体"/>
                <w:b/>
                <w:sz w:val="18"/>
              </w:rPr>
              <w:t>变化幅度</w:t>
            </w:r>
          </w:p>
        </w:tc>
      </w:tr>
      <w:tr>
        <w:tc>
          <w:tcPr>
            <w:tcW w:type="dxa" w:w="2309"/>
            <w:vAlign w:val="center"/>
          </w:tcPr>
          <w:p>
            <w:pPr>
              <w:jc w:val="center"/>
            </w:pPr>
            <w:r/>
            <w:r>
              <w:rPr>
                <w:rFonts w:ascii="宋体" w:hAnsi="宋体" w:eastAsia="宋体"/>
                <w:b w:val="0"/>
                <w:sz w:val="18"/>
              </w:rPr>
              <w:t>冷源总容量/kW</w:t>
            </w:r>
          </w:p>
        </w:tc>
        <w:tc>
          <w:tcPr>
            <w:tcW w:type="dxa" w:w="2309"/>
            <w:vAlign w:val="center"/>
          </w:tcPr>
          <w:p>
            <w:pPr>
              <w:jc w:val="center"/>
            </w:pPr>
            <w:r/>
            <w:r>
              <w:rPr>
                <w:rFonts w:ascii="宋体" w:hAnsi="宋体" w:eastAsia="宋体"/>
                <w:b w:val="0"/>
                <w:sz w:val="18"/>
              </w:rPr>
              <w:t>440</w:t>
            </w:r>
          </w:p>
        </w:tc>
        <w:tc>
          <w:tcPr>
            <w:tcW w:type="dxa" w:w="2309"/>
            <w:vAlign w:val="center"/>
          </w:tcPr>
          <w:p>
            <w:pPr>
              <w:jc w:val="center"/>
            </w:pPr>
            <w:r/>
            <w:r>
              <w:rPr>
                <w:rFonts w:ascii="宋体" w:hAnsi="宋体" w:eastAsia="宋体"/>
                <w:b w:val="0"/>
                <w:sz w:val="18"/>
              </w:rPr>
              <w:t>360</w:t>
            </w:r>
          </w:p>
        </w:tc>
        <w:tc>
          <w:tcPr>
            <w:tcW w:type="dxa" w:w="2309"/>
            <w:vAlign w:val="center"/>
          </w:tcPr>
          <w:p>
            <w:pPr>
              <w:jc w:val="center"/>
            </w:pPr>
            <w:r/>
            <w:r>
              <w:rPr>
                <w:rFonts w:ascii="宋体" w:hAnsi="宋体" w:eastAsia="宋体"/>
                <w:b w:val="0"/>
                <w:sz w:val="18"/>
              </w:rPr>
              <w:t>-18.18%</w:t>
            </w:r>
          </w:p>
        </w:tc>
      </w:tr>
      <w:tr>
        <w:tc>
          <w:tcPr>
            <w:tcW w:type="dxa" w:w="2309"/>
            <w:vAlign w:val="center"/>
          </w:tcPr>
          <w:p>
            <w:pPr>
              <w:jc w:val="center"/>
            </w:pPr>
            <w:r/>
            <w:r>
              <w:rPr>
                <w:rFonts w:ascii="宋体" w:hAnsi="宋体" w:eastAsia="宋体"/>
                <w:b w:val="0"/>
                <w:sz w:val="18"/>
              </w:rPr>
              <w:t>初投资/元</w:t>
            </w:r>
          </w:p>
        </w:tc>
        <w:tc>
          <w:tcPr>
            <w:tcW w:type="dxa" w:w="2309"/>
            <w:vAlign w:val="center"/>
          </w:tcPr>
          <w:p>
            <w:pPr>
              <w:jc w:val="center"/>
            </w:pPr>
            <w:r/>
            <w:r>
              <w:rPr>
                <w:rFonts w:ascii="宋体" w:hAnsi="宋体" w:eastAsia="宋体"/>
                <w:b w:val="0"/>
                <w:sz w:val="18"/>
              </w:rPr>
              <w:t>580220</w:t>
            </w:r>
          </w:p>
        </w:tc>
        <w:tc>
          <w:tcPr>
            <w:tcW w:type="dxa" w:w="2309"/>
            <w:vAlign w:val="center"/>
          </w:tcPr>
          <w:p>
            <w:pPr>
              <w:jc w:val="center"/>
            </w:pPr>
            <w:r/>
            <w:r>
              <w:rPr>
                <w:rFonts w:ascii="宋体" w:hAnsi="宋体" w:eastAsia="宋体"/>
                <w:b w:val="0"/>
                <w:sz w:val="18"/>
              </w:rPr>
              <w:t>477060</w:t>
            </w:r>
          </w:p>
        </w:tc>
        <w:tc>
          <w:tcPr>
            <w:tcW w:type="dxa" w:w="2309"/>
            <w:vAlign w:val="center"/>
          </w:tcPr>
          <w:p>
            <w:pPr>
              <w:jc w:val="center"/>
            </w:pPr>
            <w:r/>
            <w:r>
              <w:rPr>
                <w:rFonts w:ascii="宋体" w:hAnsi="宋体" w:eastAsia="宋体"/>
                <w:b w:val="0"/>
                <w:sz w:val="18"/>
              </w:rPr>
              <w:t>-17.78%</w:t>
            </w:r>
          </w:p>
        </w:tc>
      </w:tr>
      <w:tr>
        <w:tc>
          <w:tcPr>
            <w:tcW w:type="dxa" w:w="2309"/>
            <w:vAlign w:val="center"/>
          </w:tcPr>
          <w:p>
            <w:pPr>
              <w:jc w:val="center"/>
            </w:pPr>
            <w:r/>
            <w:r>
              <w:rPr>
                <w:rFonts w:ascii="宋体" w:hAnsi="宋体" w:eastAsia="宋体"/>
                <w:b w:val="0"/>
                <w:sz w:val="18"/>
              </w:rPr>
              <w:t>全生命周期成本/元</w:t>
            </w:r>
          </w:p>
        </w:tc>
        <w:tc>
          <w:tcPr>
            <w:tcW w:type="dxa" w:w="2309"/>
            <w:vAlign w:val="center"/>
          </w:tcPr>
          <w:p>
            <w:pPr>
              <w:jc w:val="center"/>
            </w:pPr>
            <w:r/>
            <w:r>
              <w:rPr>
                <w:rFonts w:ascii="宋体" w:hAnsi="宋体" w:eastAsia="宋体"/>
                <w:b w:val="0"/>
                <w:sz w:val="18"/>
              </w:rPr>
              <w:t>4711887</w:t>
            </w:r>
          </w:p>
        </w:tc>
        <w:tc>
          <w:tcPr>
            <w:tcW w:type="dxa" w:w="2309"/>
            <w:vAlign w:val="center"/>
          </w:tcPr>
          <w:p>
            <w:pPr>
              <w:jc w:val="center"/>
            </w:pPr>
            <w:r/>
            <w:r>
              <w:rPr>
                <w:rFonts w:ascii="宋体" w:hAnsi="宋体" w:eastAsia="宋体"/>
                <w:b w:val="0"/>
                <w:sz w:val="18"/>
              </w:rPr>
              <w:t>3711458</w:t>
            </w:r>
          </w:p>
        </w:tc>
        <w:tc>
          <w:tcPr>
            <w:tcW w:type="dxa" w:w="2309"/>
            <w:vAlign w:val="center"/>
          </w:tcPr>
          <w:p>
            <w:pPr>
              <w:jc w:val="center"/>
            </w:pPr>
            <w:r/>
            <w:r>
              <w:rPr>
                <w:rFonts w:ascii="宋体" w:hAnsi="宋体" w:eastAsia="宋体"/>
                <w:b w:val="0"/>
                <w:sz w:val="18"/>
              </w:rPr>
              <w:t>-21.23%</w:t>
            </w:r>
          </w:p>
        </w:tc>
      </w:tr>
      <w:tr>
        <w:tc>
          <w:tcPr>
            <w:tcW w:type="dxa" w:w="2309"/>
            <w:vAlign w:val="center"/>
          </w:tcPr>
          <w:p>
            <w:pPr>
              <w:jc w:val="center"/>
            </w:pPr>
            <w:r/>
            <w:r>
              <w:rPr>
                <w:rFonts w:ascii="宋体" w:hAnsi="宋体" w:eastAsia="宋体"/>
                <w:b w:val="0"/>
                <w:sz w:val="18"/>
              </w:rPr>
              <w:t>综合容量冗余率</w:t>
            </w:r>
          </w:p>
        </w:tc>
        <w:tc>
          <w:tcPr>
            <w:tcW w:type="dxa" w:w="2309"/>
            <w:vAlign w:val="center"/>
          </w:tcPr>
          <w:p>
            <w:pPr>
              <w:jc w:val="center"/>
            </w:pPr>
            <w:r/>
            <w:r>
              <w:rPr>
                <w:rFonts w:ascii="宋体" w:hAnsi="宋体" w:eastAsia="宋体"/>
                <w:b w:val="0"/>
                <w:sz w:val="18"/>
              </w:rPr>
              <w:t>33.40%</w:t>
            </w:r>
          </w:p>
        </w:tc>
        <w:tc>
          <w:tcPr>
            <w:tcW w:type="dxa" w:w="2309"/>
            <w:vAlign w:val="center"/>
          </w:tcPr>
          <w:p>
            <w:pPr>
              <w:jc w:val="center"/>
            </w:pPr>
            <w:r/>
            <w:r>
              <w:rPr>
                <w:rFonts w:ascii="宋体" w:hAnsi="宋体" w:eastAsia="宋体"/>
                <w:b w:val="0"/>
                <w:sz w:val="18"/>
              </w:rPr>
              <w:t>9.72%</w:t>
            </w:r>
          </w:p>
        </w:tc>
        <w:tc>
          <w:tcPr>
            <w:tcW w:type="dxa" w:w="2309"/>
            <w:vAlign w:val="center"/>
          </w:tcPr>
          <w:p>
            <w:pPr>
              <w:jc w:val="center"/>
            </w:pPr>
            <w:r/>
            <w:r>
              <w:rPr>
                <w:rFonts w:ascii="宋体" w:hAnsi="宋体" w:eastAsia="宋体"/>
                <w:b w:val="0"/>
                <w:sz w:val="18"/>
              </w:rPr>
              <w:t>-70.90%</w:t>
            </w:r>
          </w:p>
        </w:tc>
      </w:tr>
      <w:tr>
        <w:tc>
          <w:tcPr>
            <w:tcW w:type="dxa" w:w="2309"/>
            <w:vAlign w:val="center"/>
          </w:tcPr>
          <w:p>
            <w:pPr>
              <w:jc w:val="center"/>
            </w:pPr>
            <w:r/>
            <w:r>
              <w:rPr>
                <w:rFonts w:ascii="宋体" w:hAnsi="宋体" w:eastAsia="宋体"/>
                <w:b w:val="0"/>
                <w:sz w:val="18"/>
              </w:rPr>
              <w:t>年运行能耗/kWh</w:t>
            </w:r>
          </w:p>
        </w:tc>
        <w:tc>
          <w:tcPr>
            <w:tcW w:type="dxa" w:w="2309"/>
            <w:vAlign w:val="center"/>
          </w:tcPr>
          <w:p>
            <w:pPr>
              <w:jc w:val="center"/>
            </w:pPr>
            <w:r/>
            <w:r>
              <w:rPr>
                <w:rFonts w:ascii="宋体" w:hAnsi="宋体" w:eastAsia="宋体"/>
                <w:b w:val="0"/>
                <w:sz w:val="18"/>
              </w:rPr>
              <w:t>444407.7</w:t>
            </w:r>
          </w:p>
        </w:tc>
        <w:tc>
          <w:tcPr>
            <w:tcW w:type="dxa" w:w="2309"/>
            <w:vAlign w:val="center"/>
          </w:tcPr>
          <w:p>
            <w:pPr>
              <w:jc w:val="center"/>
            </w:pPr>
            <w:r/>
            <w:r>
              <w:rPr>
                <w:rFonts w:ascii="宋体" w:hAnsi="宋体" w:eastAsia="宋体"/>
                <w:b w:val="0"/>
                <w:sz w:val="18"/>
              </w:rPr>
              <w:t>346955.5</w:t>
            </w:r>
          </w:p>
        </w:tc>
        <w:tc>
          <w:tcPr>
            <w:tcW w:type="dxa" w:w="2309"/>
            <w:vAlign w:val="center"/>
          </w:tcPr>
          <w:p>
            <w:pPr>
              <w:jc w:val="center"/>
            </w:pPr>
            <w:r/>
            <w:r>
              <w:rPr>
                <w:rFonts w:ascii="宋体" w:hAnsi="宋体" w:eastAsia="宋体"/>
                <w:b w:val="0"/>
                <w:sz w:val="18"/>
              </w:rPr>
              <w:t>-21.93%</w:t>
            </w:r>
          </w:p>
        </w:tc>
      </w:tr>
    </w:tbl>
    <w:p/>
    <w:p>
      <w:pPr>
        <w:spacing w:line="360" w:lineRule="auto" w:after="80"/>
        <w:ind w:firstLine="480"/>
      </w:pPr>
      <w:r>
        <w:rPr>
          <w:rFonts w:ascii="宋体" w:hAnsi="宋体" w:eastAsia="宋体"/>
          <w:sz w:val="22"/>
        </w:rPr>
        <w:t>由表6-1可知，优化方案在冷源总容量、初投资、全生命周期成本、容量冗余率和年运行能耗等方面均优于基准方案。优化方案冷源总容量由 440 kW 降低至 360 kW，说明在基于负荷预测和系统匹配约束的前提下，可以减少传统设计中不必要的容量冗余。与此同时，优化方案全生命周期成本降低 21.23%，年运行能耗降低 21.93%，表明容量配置优化不仅能够降低设备投资，也能够改善系统部分负荷运行效率。</w:t>
      </w:r>
    </w:p>
    <w:p>
      <w:pPr>
        <w:pStyle w:val="Heading2"/>
      </w:pPr>
      <w:r>
        <w:t>6.2 容量冗余率分析</w:t>
      </w:r>
    </w:p>
    <w:p>
      <w:pPr>
        <w:spacing w:line="360" w:lineRule="auto" w:after="80"/>
        <w:ind w:firstLine="480"/>
      </w:pPr>
      <w:r>
        <w:rPr>
          <w:rFonts w:ascii="宋体" w:hAnsi="宋体" w:eastAsia="宋体"/>
          <w:sz w:val="22"/>
        </w:rPr>
        <w:t>容量冗余率是评价设备容量配置合理性的重要指标。基准方案的综合容量冗余率为 33.40%，说明传统配置方案中设备容量明显高于实际负荷需求。较高的容量冗余虽然能够提高峰值工况下的安全裕度，但也会导致设备长期运行在较低负荷率区间，降低系统运行效率。</w:t>
      </w:r>
    </w:p>
    <w:p>
      <w:pPr>
        <w:spacing w:line="360" w:lineRule="auto" w:after="80"/>
        <w:ind w:firstLine="480"/>
      </w:pPr>
      <w:r>
        <w:rPr>
          <w:rFonts w:ascii="宋体" w:hAnsi="宋体" w:eastAsia="宋体"/>
          <w:sz w:val="22"/>
        </w:rPr>
        <w:t>优化方案的综合容量冗余率为 9.72%，相比基准方案下降 70.90%。该结果表明，本文优化模型能够在满足设计负荷和安全系数约束的基础上，有效压缩过度裕量，使设备配置更加接近实际负荷需求。</w:t>
      </w:r>
    </w:p>
    <w:p>
      <w:pPr>
        <w:spacing w:line="360" w:lineRule="auto" w:after="80"/>
        <w:ind w:firstLine="480"/>
      </w:pPr>
      <w:r>
        <w:rPr>
          <w:rFonts w:ascii="宋体" w:hAnsi="宋体" w:eastAsia="宋体"/>
          <w:sz w:val="22"/>
        </w:rPr>
        <w:t>从工程角度看，容量冗余率并非越低越好。过低的冗余率可能导致系统在极端高温、高客流或设备性能衰减条件下缺乏必要安全裕度。本文优化方案保留约 10% 的综合容量冗余，既避免了传统方案中 30% 以上的过度冗余，又为实际运行中的负荷波动和设备调节保留了一定余量，具有较好的工程可接受性。</w:t>
      </w:r>
    </w:p>
    <w:p>
      <w:pPr>
        <w:pStyle w:val="Heading2"/>
      </w:pPr>
      <w:r>
        <w:t>6.3 全生命周期成本分析</w:t>
      </w:r>
    </w:p>
    <w:p>
      <w:pPr>
        <w:spacing w:line="360" w:lineRule="auto" w:after="80"/>
        <w:ind w:firstLine="480"/>
      </w:pPr>
      <w:r>
        <w:rPr>
          <w:rFonts w:ascii="宋体" w:hAnsi="宋体" w:eastAsia="宋体"/>
          <w:sz w:val="22"/>
        </w:rPr>
        <w:t>地铁车站通风空调系统的经济性不仅取决于设备初投资，还与长期运行能耗和维护费用密切相关。因此，本文采用全生命周期成本作为经济性评价指标。</w:t>
      </w:r>
    </w:p>
    <w:p>
      <w:pPr>
        <w:spacing w:line="360" w:lineRule="auto" w:after="80"/>
        <w:ind w:firstLine="480"/>
      </w:pPr>
      <w:r>
        <w:rPr>
          <w:rFonts w:ascii="宋体" w:hAnsi="宋体" w:eastAsia="宋体"/>
          <w:sz w:val="22"/>
        </w:rPr>
        <w:t>从初投资看，基准方案初投资为 580220 元，优化方案初投资为 477060 元，降低 103160 元，降幅为 17.78%。初投资降低主要来自设备总容量减少和台数组合优化。由于优化方案减少了过度配置，冷水机组、风机、水泵和空气处理机组的容量选型更加贴近负荷需求，设备购置成本随之下降。</w:t>
      </w:r>
    </w:p>
    <w:p>
      <w:pPr>
        <w:spacing w:line="360" w:lineRule="auto" w:after="80"/>
        <w:ind w:firstLine="480"/>
      </w:pPr>
      <w:r>
        <w:rPr>
          <w:rFonts w:ascii="宋体" w:hAnsi="宋体" w:eastAsia="宋体"/>
          <w:sz w:val="22"/>
        </w:rPr>
        <w:t>从全生命周期成本看，基准方案为 4711887 元，优化方案为 3711458 元，降低 1000429 元，降幅为 21.23%。全生命周期成本降幅高于初投资降幅，说明优化方案不仅降低了设备购置成本，也在长期运行过程中减少了能耗费用和维护成本。</w:t>
      </w:r>
    </w:p>
    <w:p>
      <w:pPr>
        <w:spacing w:line="360" w:lineRule="auto" w:after="80"/>
        <w:ind w:firstLine="480"/>
      </w:pPr>
      <w:r>
        <w:rPr>
          <w:rFonts w:ascii="宋体" w:hAnsi="宋体" w:eastAsia="宋体"/>
          <w:sz w:val="22"/>
        </w:rPr>
        <w:t>对于地铁车站这类长期连续运行的公共建筑，运行期成本往往是生命周期成本的重要组成部分。因此，仅以初投资作为容量配置依据容易忽略设备长期低效运行带来的经济损失。本文优化结果说明，将生命周期成本纳入目标函数，可以得到更符合长期运营需求的容量配置方案。</w:t>
      </w:r>
    </w:p>
    <w:p>
      <w:pPr>
        <w:pStyle w:val="Heading2"/>
      </w:pPr>
      <w:r>
        <w:t>6.4 年运行能耗与节能效果分析</w:t>
      </w:r>
    </w:p>
    <w:p>
      <w:pPr>
        <w:spacing w:line="360" w:lineRule="auto" w:after="80"/>
        <w:ind w:firstLine="480"/>
      </w:pPr>
      <w:r>
        <w:rPr>
          <w:rFonts w:ascii="宋体" w:hAnsi="宋体" w:eastAsia="宋体"/>
          <w:sz w:val="22"/>
        </w:rPr>
        <w:t>按照年节电量 97452.2 kWh 和电价 0.85 元/kWh 估算，优化方案每年可节约运行电费约 8.28 万元。若进一步考虑设备维护费用随容量下降而减少，则优化方案的长期经济收益会更加明显。该结果说明，容量配置优化不仅体现在一次性初投资下降，也会在系统长期运营阶段持续产生节能和降费效果。</w:t>
      </w:r>
    </w:p>
    <w:p>
      <w:pPr>
        <w:spacing w:line="360" w:lineRule="auto" w:after="80"/>
        <w:ind w:firstLine="480"/>
      </w:pPr>
      <w:r>
        <w:rPr>
          <w:rFonts w:ascii="宋体" w:hAnsi="宋体" w:eastAsia="宋体"/>
          <w:sz w:val="22"/>
        </w:rPr>
        <w:t>通风空调系统能耗与设备容量、负荷率和运行时间密切相关。基准方案由于设备容量偏大，在部分负荷时段容易出现低负荷率运行，导致冷源、风机和水泵难以长期处于高效区间。优化方案通过减少容量冗余和改善设备匹配关系，有助于提高设备运行负荷率，从而降低年运行能耗。</w:t>
      </w:r>
    </w:p>
    <w:p>
      <w:pPr>
        <w:spacing w:line="360" w:lineRule="auto" w:after="80"/>
        <w:ind w:firstLine="480"/>
      </w:pPr>
      <w:r>
        <w:rPr>
          <w:rFonts w:ascii="宋体" w:hAnsi="宋体" w:eastAsia="宋体"/>
          <w:sz w:val="22"/>
        </w:rPr>
        <w:t>计算结果表明，基准方案年运行能耗为 444407.7 kWh，优化方案年运行能耗为 346955.5 kWh，年节电量为 97452.2 kWh，节能率为 21.93%。</w:t>
      </w:r>
    </w:p>
    <w:p>
      <w:pPr>
        <w:spacing w:line="360" w:lineRule="auto" w:after="80"/>
        <w:ind w:firstLine="480"/>
      </w:pPr>
      <w:r>
        <w:rPr>
          <w:rFonts w:ascii="宋体" w:hAnsi="宋体" w:eastAsia="宋体"/>
          <w:sz w:val="22"/>
        </w:rPr>
        <w:t>节能效果主要来源于以下几个方面。</w:t>
      </w:r>
    </w:p>
    <w:p>
      <w:pPr>
        <w:spacing w:line="360" w:lineRule="auto" w:after="80"/>
        <w:ind w:firstLine="480"/>
      </w:pPr>
      <w:r>
        <w:rPr>
          <w:rFonts w:ascii="宋体" w:hAnsi="宋体" w:eastAsia="宋体"/>
          <w:sz w:val="22"/>
        </w:rPr>
        <w:t>第一，冷源容量降低后，机组在典型负荷下的负荷率提高，减少了低负荷运行带来的效率损失。</w:t>
      </w:r>
    </w:p>
    <w:p>
      <w:pPr>
        <w:spacing w:line="360" w:lineRule="auto" w:after="80"/>
        <w:ind w:firstLine="480"/>
      </w:pPr>
      <w:r>
        <w:rPr>
          <w:rFonts w:ascii="宋体" w:hAnsi="宋体" w:eastAsia="宋体"/>
          <w:sz w:val="22"/>
        </w:rPr>
        <w:t>第二，风机和水泵容量与负荷需求更加匹配，避免了“大流量、小温差”或“大容量、低负荷”的低效运行状态。</w:t>
      </w:r>
    </w:p>
    <w:p>
      <w:pPr>
        <w:spacing w:line="360" w:lineRule="auto" w:after="80"/>
        <w:ind w:firstLine="480"/>
      </w:pPr>
      <w:r>
        <w:rPr>
          <w:rFonts w:ascii="宋体" w:hAnsi="宋体" w:eastAsia="宋体"/>
          <w:sz w:val="22"/>
        </w:rPr>
        <w:t>第三，设备台数组合优化后，系统能够通过分级启停适应不同负荷区间，提升部分负荷下的调节灵活性。</w:t>
      </w:r>
    </w:p>
    <w:p>
      <w:pPr>
        <w:spacing w:line="360" w:lineRule="auto" w:after="80"/>
        <w:ind w:firstLine="480"/>
      </w:pPr>
      <w:r>
        <w:rPr>
          <w:rFonts w:ascii="宋体" w:hAnsi="宋体" w:eastAsia="宋体"/>
          <w:sz w:val="22"/>
        </w:rPr>
        <w:t>第四，优化方案以预测负荷为基础进行容量配置，能够更准确地反映实际运行工况，减少单纯依赖峰值设计导致的过度保守。</w:t>
      </w:r>
    </w:p>
    <w:p>
      <w:pPr>
        <w:spacing w:line="360" w:lineRule="auto" w:after="80"/>
        <w:ind w:firstLine="480"/>
      </w:pPr>
      <w:r>
        <w:rPr>
          <w:rFonts w:ascii="宋体" w:hAnsi="宋体" w:eastAsia="宋体"/>
          <w:sz w:val="22"/>
        </w:rPr>
        <w:t>需要指出的是，本文年运行能耗评价基于代表性负荷和经验性部分负荷修正方法，尚未建立逐时设备效率曲线和完整运行控制仿真模型。因此，节能率结果主要用于方案间相对比较，后续若用于实际工程决策，还应结合设备性能曲线和全年运行数据进一步校核。</w:t>
      </w:r>
    </w:p>
    <w:p>
      <w:pPr>
        <w:pStyle w:val="Heading2"/>
      </w:pPr>
      <w:r>
        <w:t>6.5 设备匹配性分析</w:t>
      </w:r>
    </w:p>
    <w:p>
      <w:pPr>
        <w:spacing w:line="360" w:lineRule="auto" w:after="80"/>
        <w:ind w:firstLine="480"/>
      </w:pPr>
      <w:r>
        <w:rPr>
          <w:rFonts w:ascii="宋体" w:hAnsi="宋体" w:eastAsia="宋体"/>
          <w:sz w:val="22"/>
        </w:rPr>
        <w:t>通风空调系统容量配置优化不仅要求单个设备容量合理，还要求冷源侧、风系统、水系统和空气处理侧之间保持匹配。若某一子系统容量明显偏大，会造成投资浪费和运行效率下降；若某一子系统容量不足，则可能成为系统瓶颈，影响整体供冷和通风效果。</w:t>
      </w:r>
    </w:p>
    <w:p>
      <w:pPr>
        <w:spacing w:line="360" w:lineRule="auto" w:after="80"/>
        <w:ind w:firstLine="480"/>
      </w:pPr>
      <w:r>
        <w:rPr>
          <w:rFonts w:ascii="宋体" w:hAnsi="宋体" w:eastAsia="宋体"/>
          <w:sz w:val="22"/>
        </w:rPr>
        <w:t>本文优化模型在约束条件中分别校核了冷水机组总容量、风机总容量、水泵总容量和空气处理机组总风量，使各子系统均满足设计负荷和安全系数要求。相比基准方案，优化方案减少了整体过度裕量，使不同设备容量更加协调。</w:t>
      </w:r>
    </w:p>
    <w:p>
      <w:pPr>
        <w:spacing w:line="360" w:lineRule="auto" w:after="80"/>
        <w:ind w:firstLine="480"/>
      </w:pPr>
      <w:r>
        <w:rPr>
          <w:rFonts w:ascii="宋体" w:hAnsi="宋体" w:eastAsia="宋体"/>
          <w:sz w:val="22"/>
        </w:rPr>
        <w:t>从冷源侧看，优化方案冷源总容量由 440 kW 降低至 360 kW，仍能够满足设计负荷与安全系数要求，说明基准方案存在一定冷源容量过剩。</w:t>
      </w:r>
    </w:p>
    <w:p>
      <w:pPr>
        <w:spacing w:line="360" w:lineRule="auto" w:after="80"/>
        <w:ind w:firstLine="480"/>
      </w:pPr>
      <w:r>
        <w:rPr>
          <w:rFonts w:ascii="宋体" w:hAnsi="宋体" w:eastAsia="宋体"/>
          <w:sz w:val="22"/>
        </w:rPr>
        <w:t>从风系统和水系统看，优化方案通过离散容量和台数组合选择，使风机、水泵能力与冷源负荷需求保持一致，避免辅助设备容量过大造成额外能耗。</w:t>
      </w:r>
    </w:p>
    <w:p>
      <w:pPr>
        <w:spacing w:line="360" w:lineRule="auto" w:after="80"/>
        <w:ind w:firstLine="480"/>
      </w:pPr>
      <w:r>
        <w:rPr>
          <w:rFonts w:ascii="宋体" w:hAnsi="宋体" w:eastAsia="宋体"/>
          <w:sz w:val="22"/>
        </w:rPr>
        <w:t>从空气处理侧看，空气处理机组风量作为约束项纳入优化模型，保证优化方案不仅满足冷量需求，也满足站台区域空气处理能力需求。</w:t>
      </w:r>
    </w:p>
    <w:p>
      <w:pPr>
        <w:spacing w:line="360" w:lineRule="auto" w:after="80"/>
        <w:ind w:firstLine="480"/>
      </w:pPr>
      <w:r>
        <w:rPr>
          <w:rFonts w:ascii="宋体" w:hAnsi="宋体" w:eastAsia="宋体"/>
          <w:sz w:val="22"/>
        </w:rPr>
        <w:t>因此，优化方案具有较好的设备协同匹配性，能够支持通风空调系统在不同负荷工况下稳定运行。</w:t>
      </w:r>
    </w:p>
    <w:p>
      <w:pPr>
        <w:pStyle w:val="Heading2"/>
      </w:pPr>
      <w:r>
        <w:t>6.6 调节灵活性与运行适应性分析</w:t>
      </w:r>
    </w:p>
    <w:p>
      <w:pPr>
        <w:spacing w:line="360" w:lineRule="auto" w:after="80"/>
        <w:ind w:firstLine="480"/>
      </w:pPr>
      <w:r>
        <w:rPr>
          <w:rFonts w:ascii="宋体" w:hAnsi="宋体" w:eastAsia="宋体"/>
          <w:sz w:val="22"/>
        </w:rPr>
        <w:t>地铁车站负荷具有明显的日内波动和场景差异。早晚高峰时段客流大、负荷高，平峰和夜间时段负荷较低；工作日和周末也存在不同负荷模式。若设备容量配置过大且台数组合不合理，系统在低负荷时段可能难以进行精细调节。</w:t>
      </w:r>
    </w:p>
    <w:p>
      <w:pPr>
        <w:spacing w:line="360" w:lineRule="auto" w:after="80"/>
        <w:ind w:firstLine="480"/>
      </w:pPr>
      <w:r>
        <w:rPr>
          <w:rFonts w:ascii="宋体" w:hAnsi="宋体" w:eastAsia="宋体"/>
          <w:sz w:val="22"/>
        </w:rPr>
        <w:t>优化方案在满足峰值负荷需求的同时降低了综合容量冗余率，使设备运行点更加接近实际负荷区间。这样有利于提高设备部分负荷运行效率，也便于通过分级启停、变频调节等方式适应不同负荷水平。</w:t>
      </w:r>
    </w:p>
    <w:p>
      <w:pPr>
        <w:spacing w:line="360" w:lineRule="auto" w:after="80"/>
        <w:ind w:firstLine="480"/>
      </w:pPr>
      <w:r>
        <w:rPr>
          <w:rFonts w:ascii="宋体" w:hAnsi="宋体" w:eastAsia="宋体"/>
          <w:sz w:val="22"/>
        </w:rPr>
        <w:t>结合第三章典型负荷曲线聚类结果，站台区域负荷可划分为工作日双峰高负荷型、工作日平稳中负荷型、周末午后单峰型和低客流低负荷型。优化方案相较基准方案更适合这些典型负荷模式：在高负荷时段能够满足设计需求，在中低负荷时段减少因设备过大造成的低效运行。</w:t>
      </w:r>
    </w:p>
    <w:p>
      <w:pPr>
        <w:spacing w:line="360" w:lineRule="auto" w:after="80"/>
        <w:ind w:firstLine="480"/>
      </w:pPr>
      <w:r>
        <w:rPr>
          <w:rFonts w:ascii="宋体" w:hAnsi="宋体" w:eastAsia="宋体"/>
          <w:sz w:val="22"/>
        </w:rPr>
        <w:t>此外，优化方案保留约 10% 的综合容量冗余，为客流短时波动、气象条件变化和设备性能衰减提供了一定缓冲空间。因此，从运行适应性角度看，优化方案兼顾了节能性和安全裕度。</w:t>
      </w:r>
    </w:p>
    <w:p>
      <w:pPr>
        <w:pStyle w:val="Heading2"/>
      </w:pPr>
      <w:r>
        <w:t>6.7 既有车站改造适配性分析</w:t>
      </w:r>
    </w:p>
    <w:p>
      <w:pPr>
        <w:spacing w:line="360" w:lineRule="auto" w:after="80"/>
        <w:ind w:firstLine="480"/>
      </w:pPr>
      <w:r>
        <w:rPr>
          <w:rFonts w:ascii="宋体" w:hAnsi="宋体" w:eastAsia="宋体"/>
          <w:sz w:val="22"/>
        </w:rPr>
        <w:t>对于既有地铁车站，通风空调系统改造通常受到机房空间、设备基础、管线布置、施工窗口和运营安全等条件限制。因此，容量优化方案不仅要在计算上最优，还应具备工程实施可行性。</w:t>
      </w:r>
    </w:p>
    <w:p>
      <w:pPr>
        <w:spacing w:line="360" w:lineRule="auto" w:after="80"/>
        <w:ind w:firstLine="480"/>
      </w:pPr>
      <w:r>
        <w:rPr>
          <w:rFonts w:ascii="宋体" w:hAnsi="宋体" w:eastAsia="宋体"/>
          <w:sz w:val="22"/>
        </w:rPr>
        <w:t>本文优化模型采用离散设备规格和台数组合作为决策变量，较好地贴近实际工程选型方式。优化方案并未要求改变通风空调系统基本形式，而是在既有冷源、风机、水泵和空气处理机组配置逻辑下重新确定容量和台数组合，因此具有较强的工程适配性。</w:t>
      </w:r>
    </w:p>
    <w:p>
      <w:pPr>
        <w:spacing w:line="360" w:lineRule="auto" w:after="80"/>
        <w:ind w:firstLine="480"/>
      </w:pPr>
      <w:r>
        <w:rPr>
          <w:rFonts w:ascii="宋体" w:hAnsi="宋体" w:eastAsia="宋体"/>
          <w:sz w:val="22"/>
        </w:rPr>
        <w:t>对于新建车站，优化方法可在设计阶段用于辅助设备选型，减少因经验裕度过大导致的投资浪费。对于既有车站，优化结果可作为设备更新改造、冷源增减配、风机水泵替换或运行策略调整的参考依据。</w:t>
      </w:r>
    </w:p>
    <w:p>
      <w:pPr>
        <w:spacing w:line="360" w:lineRule="auto" w:after="80"/>
        <w:ind w:firstLine="480"/>
      </w:pPr>
      <w:r>
        <w:rPr>
          <w:rFonts w:ascii="宋体" w:hAnsi="宋体" w:eastAsia="宋体"/>
          <w:sz w:val="22"/>
        </w:rPr>
        <w:t>不过，既有车站改造还需要进一步结合现场条件进行校核，包括设备安装空间、管网阻力、供电容量、控制系统兼容性和施工组织条件等。本文研究重点在容量配置方法和方案评价，现场实施细节可在后续工程设计阶段进一步深化。</w:t>
      </w:r>
    </w:p>
    <w:p>
      <w:pPr>
        <w:pStyle w:val="Heading2"/>
      </w:pPr>
      <w:r>
        <w:t>6.8 本章小结</w:t>
      </w:r>
    </w:p>
    <w:p>
      <w:pPr>
        <w:spacing w:line="360" w:lineRule="auto" w:after="80"/>
        <w:ind w:firstLine="480"/>
      </w:pPr>
      <w:r>
        <w:rPr>
          <w:rFonts w:ascii="宋体" w:hAnsi="宋体" w:eastAsia="宋体"/>
          <w:sz w:val="22"/>
        </w:rPr>
        <w:t>本章对基准方案和优化方案进行了对比分析，并从容量冗余率、全生命周期成本、年运行能耗、设备匹配性、调节灵活性和既有车站改造适配性等方面评价了优化效果。结果表明，优化方案冷源总容量由 440 kW 降低至 360 kW，综合容量冗余率由 33.40% 降低至 9.72%，全生命周期成本降低 21.23%，年运行能耗降低 21.93%。说明基于负荷特性的容量配置优化方法能够在满足工程约束的前提下，有效降低设备容量冗余、减少生命周期成本并提升系统节能潜力。与此同时，本文也指出当前能耗评价仍存在简化，后续应结合全年运行数据和设备效率曲线进一步验证。</w:t>
      </w:r>
    </w:p>
    <w:p>
      <w:pPr>
        <w:pStyle w:val="Heading1"/>
      </w:pPr>
      <w:r>
        <w:t>第7章 结论与展望</w:t>
      </w:r>
    </w:p>
    <w:p>
      <w:pPr>
        <w:pStyle w:val="Heading2"/>
      </w:pPr>
      <w:r>
        <w:t>7.1 主要研究结论</w:t>
      </w:r>
    </w:p>
    <w:p>
      <w:pPr>
        <w:spacing w:line="360" w:lineRule="auto" w:after="80"/>
        <w:ind w:firstLine="480"/>
      </w:pPr>
      <w:r>
        <w:rPr>
          <w:rFonts w:ascii="宋体" w:hAnsi="宋体" w:eastAsia="宋体"/>
          <w:sz w:val="22"/>
        </w:rPr>
        <w:t>本文以地铁车站站台区域通风空调系统为研究对象，围绕容量配置偏大、系统长期低负荷运行和运行能耗较高等问题，构建了“数据预处理、负荷特性分析、负荷预测建模、容量配置优化、工程评价”的研究流程。基于福州地铁东街口站 2025 年 7 月 15 分钟粒度运行数据，采用 Pearson 相关分析、负荷分项分解、K-Means 聚类、LSTM 神经网络、NSGA-II 多目标优化和 TOPSIS 综合评价等方法，开展了地铁车站通风空调系统容量配置优化研究。主要结论如下。</w:t>
      </w:r>
    </w:p>
    <w:p>
      <w:pPr>
        <w:spacing w:line="360" w:lineRule="auto" w:after="80"/>
        <w:ind w:firstLine="480"/>
      </w:pPr>
      <w:r>
        <w:rPr>
          <w:rFonts w:ascii="宋体" w:hAnsi="宋体" w:eastAsia="宋体"/>
          <w:sz w:val="22"/>
        </w:rPr>
        <w:t>第一，地铁车站站台区域空调负荷受历史负荷、客流和环境参数共同影响，负荷序列表现出明显的时序连续性。Pearson 相关分析结果表明，load_lag_1 与总冷负荷的相关系数达到 0.9794，说明前一时段负荷对当前负荷具有很强指示作用。进站客流、站台在岗人数和出站客流与总冷负荷的相关系数分别为 0.9620、0.9573 和 0.9510，表明客流变化是站台区域负荷波动的重要驱动因素。二氧化碳浓度、室外温度、站台温度和太阳辐射等环境变量也与负荷具有较高相关性，可作为负荷预测模型的重要输入。</w:t>
      </w:r>
    </w:p>
    <w:p>
      <w:pPr>
        <w:spacing w:line="360" w:lineRule="auto" w:after="80"/>
        <w:ind w:firstLine="480"/>
      </w:pPr>
      <w:r>
        <w:rPr>
          <w:rFonts w:ascii="宋体" w:hAnsi="宋体" w:eastAsia="宋体"/>
          <w:sz w:val="22"/>
        </w:rPr>
        <w:t>第二，负荷分项结果表明，站台区域总冷负荷并非仅由人员活动决定，而是由围护结构传热、设备散热、新风处理和人员散热共同构成。其中，围护结构负荷平均占比为 51.14%，设备散热负荷平均占比为 29.55%，新风负荷平均占比为 10.55%，人员负荷平均占比为 5.80%。这说明地铁车站站台区域负荷具有较强的地下空间和机电设备运行特征，容量配置优化需要综合考虑多类负荷来源。</w:t>
      </w:r>
    </w:p>
    <w:p>
      <w:pPr>
        <w:spacing w:line="360" w:lineRule="auto" w:after="80"/>
        <w:ind w:firstLine="480"/>
      </w:pPr>
      <w:r>
        <w:rPr>
          <w:rFonts w:ascii="宋体" w:hAnsi="宋体" w:eastAsia="宋体"/>
          <w:sz w:val="22"/>
        </w:rPr>
        <w:t>第三，基于 K-Means 的典型负荷曲线聚类能够有效识别站台区域负荷模式。本文在 K = 2 至 K = 6 范围内进行聚类分析，综合考虑轮廓系数和工程解释性，最终选取 K = 4 作为典型负荷模式划分结果。聚类结果可概括为工作日双峰高负荷型、工作日平稳中负荷型、周末午后单峰型和低客流低负荷型。该结果说明地铁车站空调负荷具有明显的日内周期和运行场景差异，为负荷预测和容量配置提供了模式识别依据。</w:t>
      </w:r>
    </w:p>
    <w:p>
      <w:pPr>
        <w:spacing w:line="360" w:lineRule="auto" w:after="80"/>
        <w:ind w:firstLine="480"/>
      </w:pPr>
      <w:r>
        <w:rPr>
          <w:rFonts w:ascii="宋体" w:hAnsi="宋体" w:eastAsia="宋体"/>
          <w:sz w:val="22"/>
        </w:rPr>
        <w:t>第四，LSTM 神经网络能够较好预测地铁车站站台区域空调负荷。本文以客流、气象、站内环境、时间特征和历史负荷项作为输入，构建两层 LSTM 负荷预测模型，并与 BP 神经网络进行对比。测试结果表明，LSTM 模型 RMSE 为 13.28 kW，MAE 为 10.69 kW，MAPE 为 5.69%，R² 为 0.9557，整体预测精度优于 BP 模型。说明 LSTM 对地铁车站负荷时序特征具有较强表达能力，适合作为容量配置优化的负荷预测工具。</w:t>
      </w:r>
    </w:p>
    <w:p>
      <w:pPr>
        <w:spacing w:line="360" w:lineRule="auto" w:after="80"/>
        <w:ind w:firstLine="480"/>
      </w:pPr>
      <w:r>
        <w:rPr>
          <w:rFonts w:ascii="宋体" w:hAnsi="宋体" w:eastAsia="宋体"/>
          <w:sz w:val="22"/>
        </w:rPr>
        <w:t>第五，基于 NSGA-II 和 TOPSIS 的容量配置优化方法能够有效降低系统容量冗余和全生命周期成本。本文以全生命周期成本最小和综合容量冗余率最小为目标，建立冷水机组、风机、水泵和空气处理机组的离散容量组合优化模型，并通过 TOPSIS 方法从 Pareto 解集中选取综合最优方案。结果表明，优化方案冷源总容量由基准方案的 440 kW 降低至 360 kW，综合容量冗余率由 33.40% 降低至 9.72%，全生命周期成本由 471.19 万元降低至 371.15 万元。</w:t>
      </w:r>
    </w:p>
    <w:p>
      <w:pPr>
        <w:spacing w:line="360" w:lineRule="auto" w:after="80"/>
        <w:ind w:firstLine="480"/>
      </w:pPr>
      <w:r>
        <w:rPr>
          <w:rFonts w:ascii="宋体" w:hAnsi="宋体" w:eastAsia="宋体"/>
          <w:sz w:val="22"/>
        </w:rPr>
        <w:t>第六，优化方案具有较好的经济性、节能性和工程适用性。与基准方案相比，优化方案初投资降低 17.78%，全生命周期成本降低 21.23%，年运行能耗降低 21.93%。同时，优化方案保留约 10% 的综合容量冗余，在减少过度配置的同时仍具备一定安全裕度。设备容量和台数组合均基于工程常用规格选取，具有较好的设备匹配性和既有车站改造适配性。</w:t>
      </w:r>
    </w:p>
    <w:p>
      <w:pPr>
        <w:spacing w:line="360" w:lineRule="auto" w:after="80"/>
        <w:ind w:firstLine="480"/>
      </w:pPr>
      <w:r>
        <w:rPr>
          <w:rFonts w:ascii="宋体" w:hAnsi="宋体" w:eastAsia="宋体"/>
          <w:sz w:val="22"/>
        </w:rPr>
        <w:t>综上，本文提出的基于负荷特性的地铁车站通风空调系统容量配置优化方法，能够较好衔接负荷数据分析、负荷预测和工程容量选型，为降低地铁车站通风空调系统容量冗余、运行能耗和生命周期成本提供了一种可行思路。</w:t>
      </w:r>
    </w:p>
    <w:p>
      <w:pPr>
        <w:pStyle w:val="Heading2"/>
      </w:pPr>
      <w:r>
        <w:t>7.2 研究不足</w:t>
      </w:r>
    </w:p>
    <w:p>
      <w:pPr>
        <w:spacing w:line="360" w:lineRule="auto" w:after="80"/>
        <w:ind w:firstLine="480"/>
      </w:pPr>
      <w:r>
        <w:rPr>
          <w:rFonts w:ascii="宋体" w:hAnsi="宋体" w:eastAsia="宋体"/>
          <w:sz w:val="22"/>
        </w:rPr>
        <w:t>上述不足并不影响本文方法链的完整性和结果的相对比较意义，但提示后续研究应进一步增强数据覆盖范围和工程校核深度。在本科毕业设计阶段，本文重点完成了方法构建、模型计算和案例验证，已经能够支撑容量配置优化的基本结论。</w:t>
      </w:r>
    </w:p>
    <w:p>
      <w:pPr>
        <w:spacing w:line="360" w:lineRule="auto" w:after="80"/>
        <w:ind w:firstLine="480"/>
      </w:pPr>
      <w:r>
        <w:rPr>
          <w:rFonts w:ascii="宋体" w:hAnsi="宋体" w:eastAsia="宋体"/>
          <w:sz w:val="22"/>
        </w:rPr>
        <w:t>尽管本文完成了地铁车站通风空调系统容量配置优化的主要研究工作，但受数据条件、模型假设和工程验证条件限制，仍存在以下不足。</w:t>
      </w:r>
    </w:p>
    <w:p>
      <w:pPr>
        <w:spacing w:line="360" w:lineRule="auto" w:after="80"/>
        <w:ind w:firstLine="480"/>
      </w:pPr>
      <w:r>
        <w:rPr>
          <w:rFonts w:ascii="宋体" w:hAnsi="宋体" w:eastAsia="宋体"/>
          <w:sz w:val="22"/>
        </w:rPr>
        <w:t>第一，数据时间范围仍较有限。本文主要采用 2025 年 7 月一个月的运行数据开展分析，能够反映夏季典型工况下的负荷变化，但对全年季节变化、过渡季运行特征和极端天气工况的覆盖不足。后续若能够引入全年数据，将有助于提高模型和优化结果的适用范围。</w:t>
      </w:r>
    </w:p>
    <w:p>
      <w:pPr>
        <w:spacing w:line="360" w:lineRule="auto" w:after="80"/>
        <w:ind w:firstLine="480"/>
      </w:pPr>
      <w:r>
        <w:rPr>
          <w:rFonts w:ascii="宋体" w:hAnsi="宋体" w:eastAsia="宋体"/>
          <w:sz w:val="22"/>
        </w:rPr>
        <w:t>第二，负荷预测模型仍可进一步丰富。本文采用 LSTM 作为主要预测模型，并与 BP 神经网络进行对比，验证了时序模型的优势。但模型对不同特征组合、不同序列长度和不同超参数的系统性对比仍不够充分，后续可进一步开展消融实验和超参数优化。</w:t>
      </w:r>
    </w:p>
    <w:p>
      <w:pPr>
        <w:spacing w:line="360" w:lineRule="auto" w:after="80"/>
        <w:ind w:firstLine="480"/>
      </w:pPr>
      <w:r>
        <w:rPr>
          <w:rFonts w:ascii="宋体" w:hAnsi="宋体" w:eastAsia="宋体"/>
          <w:sz w:val="22"/>
        </w:rPr>
        <w:t>第三，能耗评价模型存在一定简化。本文年运行能耗估算主要基于代表性负荷和部分负荷修正方法，能够用于方案之间的相对比较，但尚未建立完整的逐时设备效率模型。实际工程中，冷水机组、风机和水泵的效率会受到负荷率、控制策略、冷却水温度和管网阻力等因素影响，后续需要进一步精细化建模。</w:t>
      </w:r>
    </w:p>
    <w:p>
      <w:pPr>
        <w:spacing w:line="360" w:lineRule="auto" w:after="80"/>
        <w:ind w:firstLine="480"/>
      </w:pPr>
      <w:r>
        <w:rPr>
          <w:rFonts w:ascii="宋体" w:hAnsi="宋体" w:eastAsia="宋体"/>
          <w:sz w:val="22"/>
        </w:rPr>
        <w:t>第四，工程实施条件仍需现场校核。本文容量优化方案从设备容量、台数和系统匹配角度进行了分析，但既有车站改造还涉及机房空间、设备基础、管线布置、施工组织和运营安全等实际问题。因此，优化结果用于工程实施前，还需结合具体车站条件进行深化设计。</w:t>
      </w:r>
    </w:p>
    <w:p>
      <w:pPr>
        <w:pStyle w:val="Heading2"/>
      </w:pPr>
      <w:r>
        <w:t>7.3 后续研究展望</w:t>
      </w:r>
    </w:p>
    <w:p>
      <w:pPr>
        <w:spacing w:line="360" w:lineRule="auto" w:after="80"/>
        <w:ind w:firstLine="480"/>
      </w:pPr>
      <w:r>
        <w:rPr>
          <w:rFonts w:ascii="宋体" w:hAnsi="宋体" w:eastAsia="宋体"/>
          <w:sz w:val="22"/>
        </w:rPr>
        <w:t>针对本文研究不足，后续可从以下几个方面进一步开展研究。</w:t>
      </w:r>
    </w:p>
    <w:p>
      <w:pPr>
        <w:spacing w:line="360" w:lineRule="auto" w:after="80"/>
        <w:ind w:firstLine="480"/>
      </w:pPr>
      <w:r>
        <w:rPr>
          <w:rFonts w:ascii="宋体" w:hAnsi="宋体" w:eastAsia="宋体"/>
          <w:sz w:val="22"/>
        </w:rPr>
        <w:t>第一，扩展数据时间尺度和车站样本范围。后续可采集全年运行数据，覆盖夏季、冬季和过渡季工况，并进一步引入不同线路、不同客流强度和不同结构形式的地铁车站数据，提高模型泛化能力。</w:t>
      </w:r>
    </w:p>
    <w:p>
      <w:pPr>
        <w:spacing w:line="360" w:lineRule="auto" w:after="80"/>
        <w:ind w:firstLine="480"/>
      </w:pPr>
      <w:r>
        <w:rPr>
          <w:rFonts w:ascii="宋体" w:hAnsi="宋体" w:eastAsia="宋体"/>
          <w:sz w:val="22"/>
        </w:rPr>
        <w:t>第二，完善负荷预测模型体系。可在 LSTM 基础上进一步引入 GRU、Transformer、CNN-LSTM 等时序模型，并开展多模型对比和集成预测。同时，可通过特征消融实验分析客流、气象、历史负荷和聚类标签对预测精度的贡献。</w:t>
      </w:r>
    </w:p>
    <w:p>
      <w:pPr>
        <w:spacing w:line="360" w:lineRule="auto" w:after="80"/>
        <w:ind w:firstLine="480"/>
      </w:pPr>
      <w:r>
        <w:rPr>
          <w:rFonts w:ascii="宋体" w:hAnsi="宋体" w:eastAsia="宋体"/>
          <w:sz w:val="22"/>
        </w:rPr>
        <w:t>第三，建立更精细的设备能耗模型。后续可结合冷水机组性能曲线、风机水泵变频特性和空气处理机组运行状态，构建逐时能耗仿真模型，使容量优化结果更加贴近实际运行能耗。</w:t>
      </w:r>
    </w:p>
    <w:p>
      <w:pPr>
        <w:spacing w:line="360" w:lineRule="auto" w:after="80"/>
        <w:ind w:firstLine="480"/>
      </w:pPr>
      <w:r>
        <w:rPr>
          <w:rFonts w:ascii="宋体" w:hAnsi="宋体" w:eastAsia="宋体"/>
          <w:sz w:val="22"/>
        </w:rPr>
        <w:t>第四，将容量配置优化与运行控制优化相结合。容量配置决定系统硬件基础，运行控制决定设备实际运行效果。后续可在容量优化基础上进一步研究冷源群控、风机水泵变频控制、新风量调节和站台温湿度控制策略，实现设计优化与运行优化协同。</w:t>
      </w:r>
    </w:p>
    <w:p>
      <w:pPr>
        <w:spacing w:line="360" w:lineRule="auto" w:after="80"/>
        <w:ind w:firstLine="480"/>
      </w:pPr>
      <w:r>
        <w:rPr>
          <w:rFonts w:ascii="宋体" w:hAnsi="宋体" w:eastAsia="宋体"/>
          <w:sz w:val="22"/>
        </w:rPr>
        <w:t>第五，开展工程应用验证。可选择实际地铁车站作为案例，将本文优化方法用于设备更新改造或新建车站设计比选，并结合实际运行数据验证节能效果、经济收益和系统稳定性。</w:t>
      </w:r>
    </w:p>
    <w:p>
      <w:pPr>
        <w:pStyle w:val="Heading2"/>
      </w:pPr>
      <w:r>
        <w:t>7.4 本章小结</w:t>
      </w:r>
    </w:p>
    <w:p>
      <w:pPr>
        <w:spacing w:line="360" w:lineRule="auto" w:after="80"/>
        <w:ind w:firstLine="480"/>
      </w:pPr>
      <w:r>
        <w:rPr>
          <w:rFonts w:ascii="宋体" w:hAnsi="宋体" w:eastAsia="宋体"/>
          <w:sz w:val="22"/>
        </w:rPr>
        <w:t>本章总结了全文主要研究结论，指出本文基于负荷特性分析、LSTM 负荷预测和 NSGA-II 多目标优化，形成了地铁车站通风空调系统容量配置优化方法。研究结果表明，该方法能够有效降低系统容量冗余、全生命周期成本和年运行能耗，具有一定工程应用价值。同时，本章也分析了数据范围、模型精细度和工程验证方面的不足，并提出了后续研究方向。</w:t>
      </w:r>
    </w:p>
    <w:p>
      <w:pPr>
        <w:pStyle w:val="Heading1"/>
      </w:pPr>
      <w:r>
        <w:t>参考文献</w:t>
      </w:r>
    </w:p>
    <w:p>
      <w:pPr>
        <w:spacing w:line="360" w:lineRule="auto" w:after="80"/>
        <w:ind w:firstLine="480"/>
      </w:pPr>
      <w:r>
        <w:rPr>
          <w:rFonts w:ascii="宋体" w:hAnsi="宋体" w:eastAsia="宋体"/>
          <w:sz w:val="22"/>
        </w:rPr>
        <w:t>[1] Efficient Ventilation and Air Conditioning System in Subway Stations: Exploring Energy-Saving Strategies, 2025. https://journals.sagepub.com/doi/full/10.3233/ATDE250416</w:t>
      </w:r>
    </w:p>
    <w:p>
      <w:pPr>
        <w:spacing w:line="360" w:lineRule="auto" w:after="80"/>
        <w:ind w:firstLine="480"/>
      </w:pPr>
      <w:r>
        <w:rPr>
          <w:rFonts w:ascii="宋体" w:hAnsi="宋体" w:eastAsia="宋体"/>
          <w:sz w:val="22"/>
        </w:rPr>
        <w:t>[2] Field investigation on operation parameters and performance of air conditioning system in a subway station, 2020. https://journals.sagepub.com/doi/10.1177/0144598719881224</w:t>
      </w:r>
    </w:p>
    <w:p>
      <w:pPr>
        <w:spacing w:line="360" w:lineRule="auto" w:after="80"/>
        <w:ind w:firstLine="480"/>
      </w:pPr>
      <w:r>
        <w:rPr>
          <w:rFonts w:ascii="宋体" w:hAnsi="宋体" w:eastAsia="宋体"/>
          <w:sz w:val="22"/>
        </w:rPr>
        <w:t>[3] SEED: Public Energy and Environment Dataset for Optimizing HVAC Operation in Subway Stations. https://arxiv.org/abs/1312.2632</w:t>
      </w:r>
    </w:p>
    <w:p>
      <w:pPr>
        <w:spacing w:line="360" w:lineRule="auto" w:after="80"/>
        <w:ind w:firstLine="480"/>
      </w:pPr>
      <w:r>
        <w:rPr>
          <w:rFonts w:ascii="宋体" w:hAnsi="宋体" w:eastAsia="宋体"/>
          <w:sz w:val="22"/>
        </w:rPr>
        <w:t>[4] Sense, Model and Identify the Load Signatures of HVAC Systems in Metro Stations. https://arxiv.org/abs/1312.2629</w:t>
      </w:r>
    </w:p>
    <w:p>
      <w:pPr>
        <w:spacing w:line="360" w:lineRule="auto" w:after="80"/>
        <w:ind w:firstLine="480"/>
      </w:pPr>
      <w:r>
        <w:rPr>
          <w:rFonts w:ascii="宋体" w:hAnsi="宋体" w:eastAsia="宋体"/>
          <w:sz w:val="22"/>
        </w:rPr>
        <w:t>[5] 地铁站通风空调系统实测分析及负荷特性研究. https://xiang.jp.kxsz.net/article/id/8130</w:t>
      </w:r>
    </w:p>
    <w:p>
      <w:pPr>
        <w:spacing w:line="360" w:lineRule="auto" w:after="80"/>
        <w:ind w:firstLine="480"/>
      </w:pPr>
      <w:r>
        <w:rPr>
          <w:rFonts w:ascii="宋体" w:hAnsi="宋体" w:eastAsia="宋体"/>
          <w:sz w:val="22"/>
        </w:rPr>
        <w:t>[6] 基于动态客流量模型的地铁车站空调负荷预测. https://cnki.istiz.org.cn/kcms/detail/detail.aspx?dbcode=CJFD&amp;dbname=CJFD2022&amp;filename=TJDZ202201013</w:t>
      </w:r>
    </w:p>
    <w:sectPr w:rsidR="00FC693F" w:rsidRPr="0006063C"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