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/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基于负荷特性的地铁车站通风空调系统容量配置优化研究</w:t>
      </w:r>
    </w:p>
    <w:p>
      <w:pPr>
        <w:spacing w:before="320"/>
        <w:jc w:val="center"/>
      </w:pPr>
      <w:r>
        <w:rPr>
          <w:rFonts w:ascii="Microsoft YaHei" w:hAnsi="Microsoft YaHei" w:eastAsia="Microsoft YaHei"/>
          <w:b/>
          <w:sz w:val="32"/>
        </w:rPr>
        <w:t>当前项目总结、问题诊断与改进建议</w:t>
      </w:r>
    </w:p>
    <w:p>
      <w:pPr>
        <w:spacing w:before="480"/>
        <w:jc w:val="center"/>
      </w:pPr>
      <w:r>
        <w:rPr>
          <w:rFonts w:ascii="Microsoft YaHei" w:hAnsi="Microsoft YaHei" w:eastAsia="Microsoft YaHei"/>
          <w:color w:val="595959"/>
          <w:sz w:val="22"/>
        </w:rPr>
        <w:t>评阅视角：本科毕业设计指导教师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2"/>
        </w:rPr>
        <w:t>生成日期：2026年5月16日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  <w:color w:val="1F4E79"/>
        </w:rPr>
        <w:t>一、总体评价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从当前项目文件、任务书、MATLAB 主流程、输出表格与已生成论文稿来看，本项目已经形成较完整的毕业设计技术链路：数据准备、影响因素分析、负荷分解、典型日聚类、LSTM 负荷预测、NSGA-II 容量优化、TOPSIS 方案排序和工程评价均有对应代码与输出。整体选题契合地铁车站环控系统节能与容量配置优化方向，研究对象聚焦于站台区域通风空调系统，具备本科毕设的工程应用价值。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当前项目的主要优势是“流程完整、结果闭环、图表输出较齐全”。但从毕设答辩和论文评审角度看，仍需要进一步增强数据来源可信度、模型参数论证、优化约束工程化、结果可解释性和论文文本规范性。建议下一阶段不要继续简单堆砌篇幅，而应围绕“为什么这样建模、结果是否可信、优化方案能否落地”三个核心问题做深。</w:t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  <w:color w:val="1F4E79"/>
        </w:rPr>
        <w:t>二、当前项目成果概括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4E79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评价维度</w:t>
            </w:r>
          </w:p>
        </w:tc>
        <w:tc>
          <w:tcPr>
            <w:tcW w:type="dxa" w:w="4759"/>
            <w:shd w:fill="1F4E79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当前表现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数据基础</w:t>
            </w:r>
          </w:p>
        </w:tc>
        <w:tc>
          <w:tcPr>
            <w:tcW w:type="dxa" w:w="475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已形成 2976 条 15 分钟粒度样本，包含客流、气象、站内环境、负荷分项和系统总冷负荷等字段。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影响因素</w:t>
            </w:r>
          </w:p>
        </w:tc>
        <w:tc>
          <w:tcPr>
            <w:tcW w:type="dxa" w:w="475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Pearson 结果显示 load_lag_1、entry_flow、platform_passengers、exit_flow、load_lag_4、CO2、室外温度等与总冷负荷相关性较强。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负荷构成</w:t>
            </w:r>
          </w:p>
        </w:tc>
        <w:tc>
          <w:tcPr>
            <w:tcW w:type="dxa" w:w="475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平均负荷分项中，围护结构负荷约 51.14%，设备散热约 29.55%，新风负荷约 10.55%，人员负荷约 5.80%。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聚类分析</w:t>
            </w:r>
          </w:p>
        </w:tc>
        <w:tc>
          <w:tcPr>
            <w:tcW w:type="dxa" w:w="475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K-Means 在 K=2 时轮廓系数最高为 0.8421；项目配置中保留了偏好的 K=4 方案，K=4 轮廓系数为 0.6554。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预测模型</w:t>
            </w:r>
          </w:p>
        </w:tc>
        <w:tc>
          <w:tcPr>
            <w:tcW w:type="dxa" w:w="475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LSTM 测试集 RMSE=13.28 kW、MAE=10.69 kW、MAPE=5.69%、R2=0.9557，优于 BP 的 RMSE=17.87 kW、R2=0.9194。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容量优化</w:t>
            </w:r>
          </w:p>
        </w:tc>
        <w:tc>
          <w:tcPr>
            <w:tcW w:type="dxa" w:w="475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基准方案总冷量 440 kW，优化方案总冷量 360 kW；全生命周期成本降低约 21.23%，冗余率降低约 70.90%，年能耗降低约 21.93%。</w:t>
            </w:r>
          </w:p>
        </w:tc>
      </w:tr>
    </w:tbl>
    <w:p>
      <w:pPr>
        <w:pStyle w:val="Heading1"/>
        <w:spacing w:before="200" w:after="120"/>
      </w:pPr>
      <w:r>
        <w:rPr>
          <w:rFonts w:ascii="Microsoft YaHei" w:hAnsi="Microsoft YaHei" w:eastAsia="Microsoft YaHei"/>
          <w:color w:val="1F4E79"/>
        </w:rPr>
        <w:t>三、需要重点解决的问题</w:t>
      </w:r>
    </w:p>
    <w:p>
      <w:pPr>
        <w:pStyle w:val="Heading2"/>
        <w:spacing w:before="120" w:after="120"/>
      </w:pPr>
      <w:r>
        <w:rPr>
          <w:rFonts w:ascii="Microsoft YaHei" w:hAnsi="Microsoft YaHei" w:eastAsia="Microsoft YaHei"/>
          <w:color w:val="1F4E79"/>
        </w:rPr>
        <w:t>1. 数据真实性与边界说明仍偏弱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项目数据文件名指向福州地铁东街口站 2025 年 7 月数据，但论文中需要明确说明数据来源、采样周期、字段含义、是否为实测、仿真或构造数据。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若数据为生成或半仿真数据，应在论文“数据来源与研究限制”中如实说明，并强调方法链验证意义，避免被评审追问数据真实性。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当前样本主要覆盖夏季月份，不能直接代表全年工况，应限制结论适用边界。</w:t>
      </w:r>
    </w:p>
    <w:p>
      <w:pPr>
        <w:pStyle w:val="Heading2"/>
        <w:spacing w:before="120" w:after="120"/>
      </w:pPr>
      <w:r>
        <w:rPr>
          <w:rFonts w:ascii="Microsoft YaHei" w:hAnsi="Microsoft YaHei" w:eastAsia="Microsoft YaHei"/>
          <w:color w:val="1F4E79"/>
        </w:rPr>
        <w:t>2. 聚类结果选择逻辑需要统一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从输出表看 K=2 的平均轮廓系数最高，但配置中存在 preferredClusterK=4 的偏好条件，最终解释需要说明为何不是直接采用 K=2。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如果使用 K=4，应从工程运行模式角度解释四类典型日的意义，例如高峰日、平峰日、周末日、过渡波动日，而不仅依赖轮廓系数。</w:t>
      </w:r>
    </w:p>
    <w:p>
      <w:pPr>
        <w:pStyle w:val="Heading2"/>
        <w:spacing w:before="120" w:after="120"/>
      </w:pPr>
      <w:r>
        <w:rPr>
          <w:rFonts w:ascii="Microsoft YaHei" w:hAnsi="Microsoft YaHei" w:eastAsia="Microsoft YaHei"/>
          <w:color w:val="1F4E79"/>
        </w:rPr>
        <w:t>3. 预测模型还缺少充分的对照和泛化检验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LSTM 指标较好，但当前对照模型只有 BP，建议至少增加一个简单基线模型，如持久性预测、线性回归或随机森林，用于证明 LSTM 的增益不是由滞后负荷特征单独贡献。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划分方式是按时间顺序 7:2:1，这符合时序任务，但论文中应明确避免随机打乱，防止未来信息泄漏。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需要补充残差分析，如高峰负荷误差、低负荷误差和日内时段误差分布。</w:t>
      </w:r>
    </w:p>
    <w:p>
      <w:pPr>
        <w:pStyle w:val="Heading2"/>
        <w:spacing w:before="120" w:after="120"/>
      </w:pPr>
      <w:r>
        <w:rPr>
          <w:rFonts w:ascii="Microsoft YaHei" w:hAnsi="Microsoft YaHei" w:eastAsia="Microsoft YaHei"/>
          <w:color w:val="1F4E79"/>
        </w:rPr>
        <w:t>4. 容量优化模型的工程约束仍显简化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当前优化目标主要为全生命周期成本和容量冗余率，约束包括冷量、风机、水泵、AHU 能力下限，但设备启停、N+1 备用、最小运行台数、部分负荷效率曲线尚未充分体现。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年能耗估算采用代表负荷和简化惩罚系数，适合本科建模，但论文必须说明其为工程估算模型，避免写成精确能耗模拟。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TOPSIS 权重为成本 0.55、冗余 0.45，需补充权重依据或做敏感性分析。</w:t>
      </w:r>
    </w:p>
    <w:p>
      <w:pPr>
        <w:pStyle w:val="Heading2"/>
        <w:spacing w:before="120" w:after="120"/>
      </w:pPr>
      <w:r>
        <w:rPr>
          <w:rFonts w:ascii="Microsoft YaHei" w:hAnsi="Microsoft YaHei" w:eastAsia="Microsoft YaHei"/>
          <w:color w:val="1F4E79"/>
        </w:rPr>
        <w:t>5. 论文表达与交付规范需要再收口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README 内容过于简单，不利于答辩老师复现实验。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部分规划文档存在乱码，建议清理或重新保存为 UTF-8，避免交付包显得不规范。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sz w:val="21"/>
        </w:rPr>
        <w:t>已有论文稿较多，需要明确“最终提交版”与中间稿，防止版本混乱。</w:t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  <w:color w:val="1F4E79"/>
        </w:rPr>
        <w:t>四、改进建议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F4E79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3173"/>
            <w:shd w:fill="1F4E79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建议事项</w:t>
            </w:r>
          </w:p>
        </w:tc>
        <w:tc>
          <w:tcPr>
            <w:tcW w:type="dxa" w:w="3173"/>
            <w:shd w:fill="1F4E79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具体做法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高</w:t>
            </w:r>
          </w:p>
        </w:tc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补写数据来源与适用边界</w:t>
            </w:r>
          </w:p>
        </w:tc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在论文第 3 章开头说明数据来源、采样周期、字段定义、缺失处理、是否仿真/生成；若不能证明实测来源，应以“算例数据”表述。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高</w:t>
            </w:r>
          </w:p>
        </w:tc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统一聚类选择依据</w:t>
            </w:r>
          </w:p>
        </w:tc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若采用 K=2，按轮廓系数最优解释；若保留 K=4，补充典型日曲线解释和工程运行模式命名。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高</w:t>
            </w:r>
          </w:p>
        </w:tc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补充基线模型与残差分析</w:t>
            </w:r>
          </w:p>
        </w:tc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新增持久性预测或线性回归对照；输出高峰/平峰/低谷时段误差表，说明 LSTM 优势和不足。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高</w:t>
            </w:r>
          </w:p>
        </w:tc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加强容量优化工程约束</w:t>
            </w:r>
          </w:p>
        </w:tc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在约束中补充设备台数匹配、备用容量、最小安全系数、机组分级启停或部分负荷效率的文字说明。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</w:t>
            </w:r>
          </w:p>
        </w:tc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做 TOPSIS 权重敏感性分析</w:t>
            </w:r>
          </w:p>
        </w:tc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设置 0.5/0.5、0.7/0.3、0.3/0.7 三组权重，观察推荐方案是否稳定。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</w:t>
            </w:r>
          </w:p>
        </w:tc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完善复现实验说明</w:t>
            </w:r>
          </w:p>
        </w:tc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扩充 README：运行环境、MATLAB 工具箱、运行 main.m 的步骤、输出文件目录和关键结果解释。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</w:t>
            </w:r>
          </w:p>
        </w:tc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清理交付版本</w:t>
            </w:r>
          </w:p>
        </w:tc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保留最终论文 DOCX、核心脚本、数据、output/tables、output/figures 和必要说明，删除临时文件或在 README 中解释。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低</w:t>
            </w:r>
          </w:p>
        </w:tc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提升图表叙事</w:t>
            </w:r>
          </w:p>
        </w:tc>
        <w:tc>
          <w:tcPr>
            <w:tcW w:type="dxa" w:w="317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每个关键图表后增加 1 段工程解释，避免只描述曲线形状和数值。</w:t>
            </w:r>
          </w:p>
        </w:tc>
      </w:tr>
    </w:tbl>
    <w:p>
      <w:pPr>
        <w:pStyle w:val="Heading1"/>
        <w:spacing w:before="200" w:after="120"/>
      </w:pPr>
      <w:r>
        <w:rPr>
          <w:rFonts w:ascii="Microsoft YaHei" w:hAnsi="Microsoft YaHei" w:eastAsia="Microsoft YaHei"/>
          <w:color w:val="1F4E79"/>
        </w:rPr>
        <w:t>五、建议的修改顺序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先修正交付包规范：完善 README、清理乱码规划文档、明确最终论文稿文件名。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再补强论文第 3 章：数据来源、预处理、Pearson、负荷分解、K-Means 选择依据必须解释清楚。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随后补强第 4 章：增加简单基线模型、残差分析和时序划分说明。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最后补强第 5 至第 6 章：解释容量优化约束、TOPSIS 权重依据、方案工程可行性与局限。</w:t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  <w:color w:val="1F4E79"/>
        </w:rPr>
        <w:t>六、导师式结论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本项目已经具备“可提交雏形”，不是从零重做的问题。当前最应投入精力的方向，是把已有代码结果转化为经得起答辩追问的工程论证。尤其要把数据边界、模型选择、聚类结果、优化约束和方案可实施性讲清楚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若按上述建议完成修改，项目质量可从“流程完整型毕设”提升为“结果可信、论证较充分、工程指向明确”的本科毕业设计。答辩时建议重点展示 LSTM 预测精度提升、容量冗余下降和全生命周期成本降低三条主线，同时主动说明夏季样本、能耗估算简化和现场校核不足等限制。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F7F7F"/>
        <w:sz w:val="18"/>
      </w:rPr>
      <w:t>毕业设计指导意见文档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