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mc:Ignorable="w14 wp14">
  <w:body>
    <w:p>
      <w:pPr>
        <w:pStyle w:val="Title"/>
      </w:pPr>
      <w:r>
        <w:t xml:space="preserve">Relatório de Situação e Prontidão da Central Jurídica</w:t>
      </w:r>
    </w:p>
    <w:p>
      <w:pPr>
        <w:pStyle w:val="Subtitle"/>
      </w:pPr>
      <w:r>
        <w:t xml:space="preserve">Atualizado em 20/09/2026. Documento operacional sanitizado, sem credenciais, tokens, dados pessoais reais ou conteúdo de .env.</w:t>
      </w:r>
    </w:p>
    <w:p>
      <w:pPr>
        <w:pStyle w:val="Heading1"/>
      </w:pPr>
      <w:r>
        <w:t xml:space="preserve">Resumo executivo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2100"/>
        <w:gridCol w:w="2200"/>
        <w:gridCol w:w="5060"/>
      </w:tblGrid>
      <w:tr>
        <w:trPr>
          <w:tblHeader/>
        </w:trPr>
        <w:tc>
          <w:tcPr>
            <w:tcW w:w="21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Área</w:t>
            </w:r>
          </w:p>
        </w:tc>
        <w:tc>
          <w:tcPr>
            <w:tcW w:w="22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Situação</w:t>
            </w:r>
          </w:p>
        </w:tc>
        <w:tc>
          <w:tcPr>
            <w:tcW w:w="50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Observação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Produção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Domínio correto confirmado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Todas as alterações devem mirar rodrigopujaniadvocacia.com.br; não usar pujani.kdkhost.com.br como alvo de publicação.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Assinatura eletrônica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Implementação reforçada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O cliente lê o PDF original por link individual, assina com consentimento e recebe cópia do PDF assinado por e-mail.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Configuração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Painel administrativo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 assinatura passa a ser ativada em Operação &gt; Sistema &gt; Assinaturas, com prazos gravados no banco.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Feature flag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Padrão seguro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Instalações novas continuam desativadas até ativação assistida e validação de SMTP.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Documentação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Atualizada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Changelog do painel atualizado para a versão 2.5.1.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Validação local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Aprovada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Suíte completa: 222 testes, 1527 asserções, 2 pulados.</w:t>
            </w:r>
          </w:p>
        </w:tc>
      </w:tr>
    </w:tbl>
    <w:p>
      <w:pPr>
        <w:pStyle w:val="Heading1"/>
      </w:pPr>
      <w:r>
        <w:t xml:space="preserve">Mudanças entregues nesta atualização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2600"/>
        <w:gridCol w:w="6760"/>
      </w:tblGrid>
      <w:tr>
        <w:trPr>
          <w:tblHeader/>
        </w:trPr>
        <w:tc>
          <w:tcPr>
            <w:tcW w:w="26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Item</w:t>
            </w:r>
          </w:p>
        </w:tc>
        <w:tc>
          <w:tcPr>
            <w:tcW w:w="67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Configuração por banco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Criada a seção Assinaturas nas configurações do sistema, usando a tabela settings para ativação, provedor interno e prazos.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Leitura antes do aceite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 tela pública de assinatura exibe botão para abrir o PDF original protegido por SHA-256 antes da confirmação.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Cópia automática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Ao concluir a solicitação, a notificação de conclusão anexa o PDF assinado ao e-mail dos signatários.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Guarda no sistema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O PDF assinado e o comprovante JSON permanecem no storage privado e seguem disponíveis no painel e no portal do cliente autorizado.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Duas assinaturas em ordem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Teste automatizado cobre primeiro signatário, liberação do segundo, conclusão, evidência e anexo por e-mail.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Documentação e changelog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 documentação integrada remove a orientação de editar .env para operação normal e orienta ativação pelo painel.</w:t>
            </w:r>
          </w:p>
        </w:tc>
      </w:tr>
    </w:tbl>
    <w:p>
      <w:pPr>
        <w:pStyle w:val="Heading1"/>
      </w:pPr>
      <w:r>
        <w:t xml:space="preserve">Fluxo funcional da assinatura eletrônica interna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900"/>
        <w:gridCol w:w="8460"/>
      </w:tblGrid>
      <w:tr>
        <w:trPr>
          <w:tblHeader/>
        </w:trPr>
        <w:tc>
          <w:tcPr>
            <w:tcW w:w="9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Etapa</w:t>
            </w:r>
          </w:p>
        </w:tc>
        <w:tc>
          <w:tcPr>
            <w:tcW w:w="84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Comportamento esperado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1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Advogado ou usuário autorizado seleciona um PDF privado com SHA-256 confirmado.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2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Sistema cria solicitação vinculada ao cliente, processo e documento jurídico.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3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Convites individuais são enviados por SMTP, respeitando ordem quando configurada.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4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Cliente abre link pessoal, visualiza o hash e abre o PDF original para leitura.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5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Cliente confirma nome e CPF/CNPJ quando exigido, aceita os termos e assina.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6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Eventos append-only registram visualização, assinatura, conclusão, IP, dispositivo e hashes.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7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PDF assinado é gerado com certificado de evidências e fica no storage privado.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8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Sistema envia automaticamente cópia do PDF assinado por e-mail ao signatário.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9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Escritório e advogado responsável acessam o documento pelo painel, conforme permissões.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10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Cliente autorizado acessa documento assinado e comprovante pelo portal.</w:t>
            </w:r>
          </w:p>
        </w:tc>
      </w:tr>
    </w:tbl>
    <w:p>
      <w:pPr>
        <w:pStyle w:val="Heading1"/>
      </w:pPr>
      <w:r>
        <w:t xml:space="preserve">Validações executadas nesta rodada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3300"/>
        <w:gridCol w:w="6060"/>
      </w:tblGrid>
      <w:tr>
        <w:trPr>
          <w:tblHeader/>
        </w:trPr>
        <w:tc>
          <w:tcPr>
            <w:tcW w:w="33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Validação</w:t>
            </w:r>
          </w:p>
        </w:tc>
        <w:tc>
          <w:tcPr>
            <w:tcW w:w="60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Testes focados de assinatura/configuração/encoding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17 testes, 157 asserções, aprovados.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Testes de segurança, documentação, autorização e SMTP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35 testes, 537 asserções, aprovados.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Suíte completa PHPUnit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222 testes, 1527 asserções, 2 pulados, aprovada.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PHP lint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309 arquivos PHP verificados sem erro de sintaxe.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Composer audit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Nenhuma vulnerabilidade reportada.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npm audit e npm audit --omit=dev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0 vulnerabilidades.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Build Vite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Aprovado; permanecem avisos conhecidos de asset hero-home.jpg em runtime e chunks grandes.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UTF-8, BOM e mojibake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Arquivos versionados de texto: UTF-8 inválido 0, BOM 0, candidatos a mojibake 0.</w:t>
            </w:r>
          </w:p>
        </w:tc>
      </w:tr>
    </w:tbl>
    <w:p>
      <w:pPr>
        <w:pStyle w:val="Heading1"/>
      </w:pPr>
      <w:r>
        <w:t xml:space="preserve">Pendências e riscos residuais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1200"/>
        <w:gridCol w:w="8160"/>
      </w:tblGrid>
      <w:tr>
        <w:trPr>
          <w:tblHeader/>
        </w:trPr>
        <w:tc>
          <w:tcPr>
            <w:tcW w:w="12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Prioridade</w:t>
            </w:r>
          </w:p>
        </w:tc>
        <w:tc>
          <w:tcPr>
            <w:tcW w:w="81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Pendência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Alta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Publicar a atualização no servidor correto e limpar caches Laravel após o deploy.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Alta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Confirmar SMTP real em produção antes de ativar a assinatura para clientes reais.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Alta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Executar teste funcional real com dados fictícios antes de considerar a assinatura liberada operacionalmente.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Média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Resolver DJEN HTTP 403 antes de declarar o módulo DJEN plenamente operacional.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Média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Configurar Google Calendar no painel com credenciais reais e validar OAuth.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Média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Decidir/configurar IA jurídica ou manter formalmente desativada.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Baixa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Planejar code splitting do Vite para reduzir chunks grandes.</w:t>
            </w:r>
          </w:p>
        </w:tc>
      </w:tr>
    </w:tbl>
    <w:p>
      <w:pPr>
        <w:pStyle w:val="Heading1"/>
      </w:pPr>
      <w:r>
        <w:t xml:space="preserve">Conclusão técnica</w:t>
      </w:r>
    </w:p>
    <w:p>
      <w:r>
        <w:t xml:space="preserve">A Central Jurídica passa a ter o fluxo de assinatura eletrônica interna alinhado ao pedido operacional: o advogado envia o documento, o cliente lê o PDF original, assina eletronicamente, recebe cópia automática por e-mail e o escritório mantém a via assinada no sistema. A funcionalidade ainda deve permanecer desativada até a publicação, cache limpo, SMTP real validado e teste funcional controlado em produção.</w:t>
      </w:r>
    </w:p>
    <w:p>
      <w:r>
        <w:t xml:space="preserve">Observação legal: a assinatura eletrônica interna registra evidências técnicas e trilha de auditoria, mas não equivale a certificado digital ICP-Brasil. Se esse nível for obrigatório, será necessária integração com provedor externo homologado.</w:t>
      </w:r>
    </w:p>
    <w:sectPr>
      <w:pgSz w:w="12240" w:h="15840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20" w:line="259" w:lineRule="auto"/>
    </w:pPr>
    <w:rPr>
      <w:rFonts w:ascii="Arial" w:hAnsi="Arial"/>
      <w:sz w:val="24"/>
    </w:rPr>
  </w:style>
  <w:style w:type="paragraph" w:styleId="Title">
    <w:name w:val="Title"/>
    <w:basedOn w:val="Normal"/>
    <w:next w:val="Subtitle"/>
    <w:qFormat/>
    <w:pPr>
      <w:spacing w:after="180"/>
    </w:pPr>
    <w:rPr>
      <w:b/>
      <w:color w:val="111827"/>
      <w:sz w:val="36"/>
    </w:rPr>
  </w:style>
  <w:style w:type="paragraph" w:styleId="Subtitle">
    <w:name w:val="Subtitle"/>
    <w:basedOn w:val="Normal"/>
    <w:next w:val="Normal"/>
    <w:qFormat/>
    <w:rPr>
      <w:color w:val="4B5563"/>
      <w:sz w:val="22"/>
    </w:rPr>
  </w:style>
  <w:style w:type="paragraph" w:styleId="Heading1">
    <w:name w:val="heading 1"/>
    <w:basedOn w:val="Normal"/>
    <w:next w:val="Normal"/>
    <w:qFormat/>
    <w:pPr>
      <w:keepNext/>
      <w:spacing w:before="300" w:after="120"/>
      <w:outlineLvl w:val="0"/>
    </w:pPr>
    <w:rPr>
      <w:b/>
      <w:color w:val="7C5C17"/>
      <w:sz w:val="3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Situação e Prontidão da Central Jurídica</dc:title>
  <dc:creator>Codex</dc:creator>
  <cp:lastModifiedBy>Codex</cp:lastModifiedBy>
  <dcterms:created xsi:type="dcterms:W3CDTF">2026-09-20T18:59:45Z</dcterms:created>
  <dcterms:modified xsi:type="dcterms:W3CDTF">2026-09-20T18:59:45Z</dcterms:modified>
</cp:coreProperties>
</file>