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Arial" w:hAnsi="Arial"/>
          <w:b/>
          <w:color w:val="111827"/>
          <w:sz w:val="40"/>
        </w:rPr>
        <w:t>Relatório de Situação e Prontidão — Central Jurídica</w:t>
      </w:r>
    </w:p>
    <w:p>
      <w:pPr>
        <w:jc w:val="center"/>
      </w:pPr>
      <w:r>
        <w:rPr>
          <w:rFonts w:ascii="Arial" w:hAnsi="Arial"/>
          <w:color w:val="4B5563"/>
          <w:sz w:val="20"/>
        </w:rPr>
        <w:t>Módulos jurídicos, documentos, assinatura eletrônica, uploads, DJEN e validações técnicas</w:t>
      </w:r>
    </w:p>
    <w:p/>
    <w:p>
      <w:pPr>
        <w:pStyle w:val="Heading1"/>
      </w:pPr>
      <w:r>
        <w:rPr>
          <w:rFonts w:ascii="Arial" w:hAnsi="Arial"/>
          <w:color w:val="1F2937"/>
          <w:sz w:val="20"/>
        </w:rPr>
        <w:t>1. Status executivo</w:t>
      </w:r>
    </w:p>
    <w:p>
      <w:pPr>
        <w:pStyle w:val="ListBullet"/>
      </w:pPr>
      <w:r>
        <w:rPr>
          <w:rFonts w:ascii="Arial" w:hAnsi="Arial"/>
          <w:sz w:val="20"/>
        </w:rPr>
        <w:t>A assinatura eletrônica permanece recomendada para uso, com fluxo principal, recusa, cancelamento, expiração, hashes, evidências, downloads e isolamento já cobertos por testes automatizados.</w:t>
      </w:r>
    </w:p>
    <w:p>
      <w:pPr>
        <w:pStyle w:val="ListBullet"/>
      </w:pPr>
      <w:r>
        <w:rPr>
          <w:rFonts w:ascii="Arial" w:hAnsi="Arial"/>
          <w:sz w:val="20"/>
        </w:rPr>
        <w:t>Foi implementado o caminho operacional que faltava: documento gerado por template em PDF agora é salvo em Documentos e pode seguir diretamente para a tela de assinatura já selecionado.</w:t>
      </w:r>
    </w:p>
    <w:p>
      <w:pPr>
        <w:pStyle w:val="ListBullet"/>
      </w:pPr>
      <w:r>
        <w:rPr>
          <w:rFonts w:ascii="Arial" w:hAnsi="Arial"/>
          <w:sz w:val="20"/>
        </w:rPr>
        <w:t>A tela de criação de solicitação de assinatura passou a exibir lista suspensa de PDFs privados elegíveis, prévia autenticada, origem do template, cliente, processo, tamanho e SHA-256.</w:t>
      </w:r>
    </w:p>
    <w:p>
      <w:pPr>
        <w:pStyle w:val="ListBullet"/>
      </w:pPr>
      <w:r>
        <w:rPr>
          <w:rFonts w:ascii="Arial" w:hAnsi="Arial"/>
          <w:sz w:val="20"/>
        </w:rPr>
        <w:t>O reCAPTCHA de produção não foi enfraquecido; a validação automatizada segue por testes internos e o login real no portal permanece manual, como esperado em produção.</w:t>
      </w:r>
    </w:p>
    <w:p>
      <w:pPr>
        <w:pStyle w:val="ListBullet"/>
      </w:pPr>
      <w:r>
        <w:rPr>
          <w:rFonts w:ascii="Arial" w:hAnsi="Arial"/>
          <w:sz w:val="20"/>
        </w:rPr>
        <w:t>O DJEN HTTP 403 foi tratado como indisponibilidade externa controlada, com próxima tentativa programada e sem derrubar o scheduler como erro crítico recorrente.</w:t>
      </w:r>
    </w:p>
    <w:p>
      <w:pPr>
        <w:pStyle w:val="Heading1"/>
      </w:pPr>
      <w:r>
        <w:rPr>
          <w:rFonts w:ascii="Arial" w:hAnsi="Arial"/>
          <w:color w:val="1F2937"/>
          <w:sz w:val="20"/>
        </w:rPr>
        <w:t>2. Alterações entregues nesta atualização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EDE7D3"/>
            <w:vAlign w:val="center"/>
          </w:tcPr>
          <w:p>
            <w:r/>
            <w:r>
              <w:rPr>
                <w:rFonts w:ascii="Arial" w:hAnsi="Arial"/>
                <w:b/>
                <w:sz w:val="18"/>
              </w:rPr>
              <w:t>Área</w:t>
            </w:r>
          </w:p>
        </w:tc>
        <w:tc>
          <w:tcPr>
            <w:tcW w:type="dxa" w:w="3312"/>
            <w:shd w:fill="EDE7D3"/>
            <w:vAlign w:val="center"/>
          </w:tcPr>
          <w:p>
            <w:r/>
            <w:r>
              <w:rPr>
                <w:rFonts w:ascii="Arial" w:hAnsi="Arial"/>
                <w:b/>
                <w:sz w:val="18"/>
              </w:rPr>
              <w:t>Entrega</w:t>
            </w:r>
          </w:p>
        </w:tc>
        <w:tc>
          <w:tcPr>
            <w:tcW w:type="dxa" w:w="3312"/>
            <w:shd w:fill="EDE7D3"/>
            <w:vAlign w:val="center"/>
          </w:tcPr>
          <w:p>
            <w:r/>
            <w:r>
              <w:rPr>
                <w:rFonts w:ascii="Arial" w:hAnsi="Arial"/>
                <w:b/>
                <w:sz w:val="18"/>
              </w:rPr>
              <w:t>Resultado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Assinatura eletrônica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Botão "Gerar PDF e enviar para assinatura" no gerador de documentos.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Documento é criado, armazenado privadamente e aberto para envio ao cliente.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Documentos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PDF gerado por template fica disponível em Jurídico &gt; Documentos e na lista da assinatura.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Sem duplicar arquivo no banco; referência por ID e storage privado.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Upload e prévia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FilePond com arrasta-e-solta, prévia de PDF e cards de arquivo.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Melhor experiência para PDFs e documentos existentes.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Otimização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Imagens JPG, PNG e WEBP são recomprimidas quando isso reduz o tamanho.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Reduz carga sem comprometer hash final armazenado.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Integridade documental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PDF, DOC, DOCX e DOCM seguem validação por assinatura, hash e storage privado.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Evita recompressão destrutiva em documentos jurídicos.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DJEN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HTTP 401/403/451/5xx agora gera status de indisponibilidade externa.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Scheduler fica resiliente e tenta novamente no prazo seguro.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Encoding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Testes ampliados contra mojibake, BOM e UTF-8 inválido nos textos da assinatura.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Acentuação preservada nos pontos novos.</w:t>
            </w:r>
          </w:p>
        </w:tc>
      </w:tr>
    </w:tbl>
    <w:p/>
    <w:p>
      <w:pPr>
        <w:pStyle w:val="Heading1"/>
      </w:pPr>
      <w:r>
        <w:rPr>
          <w:rFonts w:ascii="Arial" w:hAnsi="Arial"/>
          <w:color w:val="1F2937"/>
          <w:sz w:val="20"/>
        </w:rPr>
        <w:t>3. Como enviar um documento criado pelo template para assinatura</w:t>
      </w:r>
    </w:p>
    <w:p>
      <w:pPr>
        <w:pStyle w:val="ListBullet"/>
      </w:pPr>
      <w:r>
        <w:rPr>
          <w:rFonts w:ascii="Arial" w:hAnsi="Arial"/>
          <w:sz w:val="20"/>
        </w:rPr>
        <w:t>Acesse Painel Administrativo &gt; Jurídico &gt; Gerador de documentos.</w:t>
      </w:r>
    </w:p>
    <w:p>
      <w:pPr>
        <w:pStyle w:val="ListBullet"/>
      </w:pPr>
      <w:r>
        <w:rPr>
          <w:rFonts w:ascii="Arial" w:hAnsi="Arial"/>
          <w:sz w:val="20"/>
        </w:rPr>
        <w:t>Abra o template desejado e clique em Gerar documento.</w:t>
      </w:r>
    </w:p>
    <w:p>
      <w:pPr>
        <w:pStyle w:val="ListBullet"/>
      </w:pPr>
      <w:r>
        <w:rPr>
          <w:rFonts w:ascii="Arial" w:hAnsi="Arial"/>
          <w:sz w:val="20"/>
        </w:rPr>
        <w:t>Selecione cliente, processo quando aplicável, versão do template e formato PDF.</w:t>
      </w:r>
    </w:p>
    <w:p>
      <w:pPr>
        <w:pStyle w:val="ListBullet"/>
      </w:pPr>
      <w:r>
        <w:rPr>
          <w:rFonts w:ascii="Arial" w:hAnsi="Arial"/>
          <w:sz w:val="20"/>
        </w:rPr>
        <w:t>Clique em Gerar PDF e enviar para assinatura.</w:t>
      </w:r>
    </w:p>
    <w:p>
      <w:pPr>
        <w:pStyle w:val="ListBullet"/>
      </w:pPr>
      <w:r>
        <w:rPr>
          <w:rFonts w:ascii="Arial" w:hAnsi="Arial"/>
          <w:sz w:val="20"/>
        </w:rPr>
        <w:t>O sistema redirecionará para Assinaturas &gt; Nova solicitação com o PDF já selecionado.</w:t>
      </w:r>
    </w:p>
    <w:p>
      <w:pPr>
        <w:pStyle w:val="ListBullet"/>
      </w:pPr>
      <w:r>
        <w:rPr>
          <w:rFonts w:ascii="Arial" w:hAnsi="Arial"/>
          <w:sz w:val="20"/>
        </w:rPr>
        <w:t>Confira a prévia, o cliente, o processo, o nome do arquivo e o SHA-256.</w:t>
      </w:r>
    </w:p>
    <w:p>
      <w:pPr>
        <w:pStyle w:val="ListBullet"/>
      </w:pPr>
      <w:r>
        <w:rPr>
          <w:rFonts w:ascii="Arial" w:hAnsi="Arial"/>
          <w:sz w:val="20"/>
        </w:rPr>
        <w:t>Adicione os signatários fictícios ou reais conforme o caso, defina a ordem e confirme o envio.</w:t>
      </w:r>
    </w:p>
    <w:p>
      <w:pPr>
        <w:pStyle w:val="ListBullet"/>
      </w:pPr>
      <w:r>
        <w:rPr>
          <w:rFonts w:ascii="Arial" w:hAnsi="Arial"/>
          <w:sz w:val="20"/>
        </w:rPr>
        <w:t>O sistema enviará link individual por e-mail e manterá o documento assinado e o comprovante JSON disponíveis no painel e no portal autorizado.</w:t>
      </w:r>
    </w:p>
    <w:p>
      <w:pPr>
        <w:pStyle w:val="Heading1"/>
      </w:pPr>
      <w:r>
        <w:rPr>
          <w:rFonts w:ascii="Arial" w:hAnsi="Arial"/>
          <w:color w:val="1F2937"/>
          <w:sz w:val="20"/>
        </w:rPr>
        <w:t>4. Uploads, prévias e banco de dados</w:t>
      </w:r>
    </w:p>
    <w:p>
      <w:pPr>
        <w:pStyle w:val="ListBullet"/>
      </w:pPr>
      <w:r>
        <w:rPr>
          <w:rFonts w:ascii="Arial" w:hAnsi="Arial"/>
          <w:sz w:val="20"/>
        </w:rPr>
        <w:t>Uploads administrativos continuam usando arrasta-e-solta com barra/progresso pelo FilePond.</w:t>
      </w:r>
    </w:p>
    <w:p>
      <w:pPr>
        <w:pStyle w:val="ListBullet"/>
      </w:pPr>
      <w:r>
        <w:rPr>
          <w:rFonts w:ascii="Arial" w:hAnsi="Arial"/>
          <w:sz w:val="20"/>
        </w:rPr>
        <w:t>PDFs de assinatura têm prévia autenticada, sem expor arquivo sensível por URL pública.</w:t>
      </w:r>
    </w:p>
    <w:p>
      <w:pPr>
        <w:pStyle w:val="ListBullet"/>
      </w:pPr>
      <w:r>
        <w:rPr>
          <w:rFonts w:ascii="Arial" w:hAnsi="Arial"/>
          <w:sz w:val="20"/>
        </w:rPr>
        <w:t>O banco armazena metadados, vínculo, hash e caminho privado; o conteúdo pesado permanece no storage para não sobrecarregar o banco nem o site.</w:t>
      </w:r>
    </w:p>
    <w:p>
      <w:pPr>
        <w:pStyle w:val="ListBullet"/>
      </w:pPr>
      <w:r>
        <w:rPr>
          <w:rFonts w:ascii="Arial" w:hAnsi="Arial"/>
          <w:sz w:val="20"/>
        </w:rPr>
        <w:t>Imagens são otimizadas quando possível e só são substituídas pela versão otimizada quando o arquivo final fica menor e válido.</w:t>
      </w:r>
    </w:p>
    <w:p>
      <w:pPr>
        <w:pStyle w:val="ListBullet"/>
      </w:pPr>
      <w:r>
        <w:rPr>
          <w:rFonts w:ascii="Arial" w:hAnsi="Arial"/>
          <w:sz w:val="20"/>
        </w:rPr>
        <w:t>Documentos PDF, DOC e DOCX são preservados estruturalmente para não comprometer prova, assinatura, layout ou integridade forense.</w:t>
      </w:r>
    </w:p>
    <w:p>
      <w:pPr>
        <w:pStyle w:val="Heading1"/>
      </w:pPr>
      <w:r>
        <w:rPr>
          <w:rFonts w:ascii="Arial" w:hAnsi="Arial"/>
          <w:color w:val="1F2937"/>
          <w:sz w:val="20"/>
        </w:rPr>
        <w:t>5. Pendências e riscos residuais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EDE7D3"/>
            <w:vAlign w:val="center"/>
          </w:tcPr>
          <w:p>
            <w:r/>
            <w:r>
              <w:rPr>
                <w:rFonts w:ascii="Arial" w:hAnsi="Arial"/>
                <w:b/>
                <w:sz w:val="18"/>
              </w:rPr>
              <w:t>Item</w:t>
            </w:r>
          </w:p>
        </w:tc>
        <w:tc>
          <w:tcPr>
            <w:tcW w:type="dxa" w:w="3312"/>
            <w:shd w:fill="EDE7D3"/>
            <w:vAlign w:val="center"/>
          </w:tcPr>
          <w:p>
            <w:r/>
            <w:r>
              <w:rPr>
                <w:rFonts w:ascii="Arial" w:hAnsi="Arial"/>
                <w:b/>
                <w:sz w:val="18"/>
              </w:rPr>
              <w:t>Status</w:t>
            </w:r>
          </w:p>
        </w:tc>
        <w:tc>
          <w:tcPr>
            <w:tcW w:type="dxa" w:w="3312"/>
            <w:shd w:fill="EDE7D3"/>
            <w:vAlign w:val="center"/>
          </w:tcPr>
          <w:p>
            <w:r/>
            <w:r>
              <w:rPr>
                <w:rFonts w:ascii="Arial" w:hAnsi="Arial"/>
                <w:b/>
                <w:sz w:val="18"/>
              </w:rPr>
              <w:t>Tratamento recomendado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Login automatizado no portal de produção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Bloqueado corretamente pelo reCAPTCHA.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Manter proteção; usar teste manual ou ambiente controlado para automação.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DJEN HTTP 403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Tratado como indisponibilidade externa com retry.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Monitorar retorno da API oficial do CNJ e logs do scheduler.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Compressão de PDF/DOC/DOCX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Não aplicada por segurança documental.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Avaliar ferramenta externa específica somente se houver requisito formal e testes de integridade.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Build admin grande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Aviso conhecido do Vite.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Fatiar chunks futuramente se houver impacto real de performance.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Testes Linux de symlink/case-sensitive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Dois skips em Windows.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Executar em Linux antes de release crítica de storage.</w:t>
            </w:r>
          </w:p>
        </w:tc>
      </w:tr>
    </w:tbl>
    <w:p/>
    <w:p>
      <w:pPr>
        <w:pStyle w:val="Heading1"/>
      </w:pPr>
      <w:r>
        <w:rPr>
          <w:rFonts w:ascii="Arial" w:hAnsi="Arial"/>
          <w:color w:val="1F2937"/>
          <w:sz w:val="20"/>
        </w:rPr>
        <w:t>6. Validações executadas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EDE7D3"/>
            <w:vAlign w:val="center"/>
          </w:tcPr>
          <w:p>
            <w:r/>
            <w:r>
              <w:rPr>
                <w:rFonts w:ascii="Arial" w:hAnsi="Arial"/>
                <w:b/>
                <w:sz w:val="18"/>
              </w:rPr>
              <w:t>Validação</w:t>
            </w:r>
          </w:p>
        </w:tc>
        <w:tc>
          <w:tcPr>
            <w:tcW w:type="dxa" w:w="4968"/>
            <w:shd w:fill="EDE7D3"/>
            <w:vAlign w:val="center"/>
          </w:tcPr>
          <w:p>
            <w:r/>
            <w:r>
              <w:rPr>
                <w:rFonts w:ascii="Arial" w:hAnsi="Arial"/>
                <w:b/>
                <w:sz w:val="18"/>
              </w:rPr>
              <w:t>Resultado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php artisan test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Aprovado: 233 testes, 1668 asserções, 2 skips esperados no Windows.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Testes específicos de assinatura, templates, DJEN e encoding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Aprovado: 42 testes, 372 asserções.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PHP lint nos arquivos alterados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Aprovado.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composer audit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Aprovado, sem vulnerabilidades conhecidas.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npm audit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Aprovado, sem vulnerabilidades.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npm audit --omit=dev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Aprovado, sem vulnerabilidades.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npm run build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Aprovado; apenas avisos conhecidos de chunk grande e asset runtime.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git diff --check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Aprovado.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UTF-8 sem BOM e varredura de mojibake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Aprovado nos arquivos alterados.</w:t>
            </w:r>
          </w:p>
        </w:tc>
      </w:tr>
    </w:tbl>
    <w:p/>
    <w:p>
      <w:pPr>
        <w:pStyle w:val="Heading1"/>
      </w:pPr>
      <w:r>
        <w:rPr>
          <w:rFonts w:ascii="Arial" w:hAnsi="Arial"/>
          <w:color w:val="1F2937"/>
          <w:sz w:val="20"/>
        </w:rPr>
        <w:t>7. Estado funcional esperado após publicação</w:t>
      </w:r>
    </w:p>
    <w:p>
      <w:pPr>
        <w:pStyle w:val="ListBullet"/>
      </w:pPr>
      <w:r>
        <w:rPr>
          <w:rFonts w:ascii="Arial" w:hAnsi="Arial"/>
          <w:sz w:val="20"/>
        </w:rPr>
        <w:t>O escritório cria documento no editor/template, gera PDF e envia para assinatura sem procurar o arquivo manualmente fora do fluxo.</w:t>
      </w:r>
    </w:p>
    <w:p>
      <w:pPr>
        <w:pStyle w:val="ListBullet"/>
      </w:pPr>
      <w:r>
        <w:rPr>
          <w:rFonts w:ascii="Arial" w:hAnsi="Arial"/>
          <w:sz w:val="20"/>
        </w:rPr>
        <w:t>O cliente recebe link individual por e-mail, lê o documento, registra consentimento e assina eletronicamente.</w:t>
      </w:r>
    </w:p>
    <w:p>
      <w:pPr>
        <w:pStyle w:val="ListBullet"/>
      </w:pPr>
      <w:r>
        <w:rPr>
          <w:rFonts w:ascii="Arial" w:hAnsi="Arial"/>
          <w:sz w:val="20"/>
        </w:rPr>
        <w:t>Após conclusão, o cliente recebe cópia automática do documento assinado e o escritório mantém documento e comprovante no sistema.</w:t>
      </w:r>
    </w:p>
    <w:p>
      <w:pPr>
        <w:pStyle w:val="ListBullet"/>
      </w:pPr>
      <w:r>
        <w:rPr>
          <w:rFonts w:ascii="Arial" w:hAnsi="Arial"/>
          <w:sz w:val="20"/>
        </w:rPr>
        <w:t>Documentos e evidências permanecem isolados por cliente, com downloads autenticados e hashes verificáveis.</w:t>
      </w:r>
    </w:p>
    <w:p>
      <w:r>
        <w:rPr>
          <w:rFonts w:ascii="Arial" w:hAnsi="Arial"/>
          <w:sz w:val="20"/>
        </w:rPr>
        <w:br w:type="page"/>
      </w:r>
    </w:p>
    <w:p>
      <w:pPr>
        <w:pStyle w:val="Heading1"/>
      </w:pPr>
      <w:r>
        <w:rPr>
          <w:rFonts w:ascii="Arial" w:hAnsi="Arial"/>
          <w:color w:val="1F2937"/>
          <w:sz w:val="20"/>
        </w:rPr>
        <w:t>8. Registro técnico resumido</w:t>
      </w:r>
    </w:p>
    <w:p>
      <w:pPr>
        <w:pStyle w:val="ListBullet"/>
      </w:pPr>
      <w:r>
        <w:rPr>
          <w:rFonts w:ascii="Arial" w:hAnsi="Arial"/>
          <w:sz w:val="20"/>
        </w:rPr>
        <w:t>Branch de trabalho: fix/signature-template-flow-djen-resilience-2026-09-21.</w:t>
      </w:r>
    </w:p>
    <w:p>
      <w:pPr>
        <w:pStyle w:val="ListBullet"/>
      </w:pPr>
      <w:r>
        <w:rPr>
          <w:rFonts w:ascii="Arial" w:hAnsi="Arial"/>
          <w:sz w:val="20"/>
        </w:rPr>
        <w:t>Feature flag de assinatura: mantida pelo painel/configuração do sistema; o código respeita o middleware existente.</w:t>
      </w:r>
    </w:p>
    <w:p>
      <w:pPr>
        <w:pStyle w:val="ListBullet"/>
      </w:pPr>
      <w:r>
        <w:rPr>
          <w:rFonts w:ascii="Arial" w:hAnsi="Arial"/>
          <w:sz w:val="20"/>
        </w:rPr>
        <w:t>Nenhuma credencial, .env, log, ZIP, dado real ou arquivo temporário deve entrar no commit ou no payload.</w:t>
      </w:r>
    </w:p>
    <w:p>
      <w:pPr>
        <w:pStyle w:val="ListBullet"/>
      </w:pPr>
      <w:r>
        <w:rPr>
          <w:rFonts w:ascii="Arial" w:hAnsi="Arial"/>
          <w:sz w:val="20"/>
        </w:rPr>
        <w:t>O domínio correto para publicação e validação é rodrigopujaniadvocacia.com.br.</w:t>
      </w:r>
    </w:p>
    <w:p>
      <w:pPr>
        <w:pStyle w:val="Heading1"/>
      </w:pPr>
      <w:r>
        <w:rPr>
          <w:rFonts w:ascii="Arial" w:hAnsi="Arial"/>
          <w:color w:val="1F2937"/>
          <w:sz w:val="20"/>
        </w:rPr>
        <w:t>9. Correção complementar da tela de envio para assinatura</w:t>
      </w:r>
    </w:p>
    <w:p>
      <w:pPr>
        <w:pStyle w:val="ListBullet"/>
      </w:pPr>
      <w:r>
        <w:rPr>
          <w:rFonts w:ascii="Arial" w:hAnsi="Arial"/>
          <w:sz w:val="20"/>
        </w:rPr>
        <w:t>Quando não houver PDF privado elegível, a tela de nova solicitação de assinatura passa a abrir automaticamente em Anexar PDF agora.</w:t>
      </w:r>
    </w:p>
    <w:p>
      <w:pPr>
        <w:pStyle w:val="ListBullet"/>
      </w:pPr>
      <w:r>
        <w:rPr>
          <w:rFonts w:ascii="Arial" w:hAnsi="Arial"/>
          <w:sz w:val="20"/>
        </w:rPr>
        <w:t>A opção Selecionar documento existente fica desativada nesse cenário, evitando envio de formulário sem documento.</w:t>
      </w:r>
    </w:p>
    <w:p>
      <w:pPr>
        <w:pStyle w:val="ListBullet"/>
      </w:pPr>
      <w:r>
        <w:rPr>
          <w:rFonts w:ascii="Arial" w:hAnsi="Arial"/>
          <w:sz w:val="20"/>
        </w:rPr>
        <w:t>O erro técnico validation.required_if foi substituído por mensagens amigáveis em português brasileiro para documento existente, PDF anexado e cliente vinculado.</w:t>
      </w:r>
    </w:p>
    <w:p>
      <w:pPr>
        <w:pStyle w:val="ListBullet"/>
      </w:pPr>
      <w:r>
        <w:rPr>
          <w:rFonts w:ascii="Arial" w:hAnsi="Arial"/>
          <w:sz w:val="20"/>
        </w:rPr>
        <w:t>Foi adicionado teste de regressão específico para a situação exibida no painel, garantindo que a falha não volte.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B7280"/>
        <w:sz w:val="16"/>
      </w:rPr>
      <w:t>Documento operacional interno — atualizado em 21/09/2026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6B7280"/>
        <w:sz w:val="16"/>
      </w:rPr>
      <w:t>Central Jurídica Rodrigo Pujani — Relatório técnico atualizado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