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</w:pPr>
      <w:r>
        <w:t xml:space="preserve">Relatório de Situação e Prontidão da Central Jurídica</w:t>
      </w:r>
    </w:p>
    <w:p>
      <w:pPr>
        <w:pStyle w:val="Subtitle"/>
      </w:pPr>
      <w:r>
        <w:t xml:space="preserve">Atualizado em 21/09/2026. Documento operacional sanitizado, sem credenciais, tokens, dados pessoais reais ou conteúdo de .env.</w:t>
      </w:r>
    </w:p>
    <w:p>
      <w:pPr>
        <w:pStyle w:val="Heading1"/>
      </w:pPr>
      <w:r>
        <w:t xml:space="preserve">Resumo executivo</w:t>
      </w:r>
    </w:p>
    <w:tbl>
      <w:tblPr>
        <w:tblW w:w="9360" w:type="dxa"/>
        <w:tblLayout w:type="fixe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100"/>
        <w:gridCol w:w="2200"/>
        <w:gridCol w:w="5060"/>
      </w:tblGrid>
      <w:tr>
        <w:trPr>
          <w:tblHeader/>
        </w:trPr>
        <w:tc>
          <w:tcPr>
            <w:tcW w:w="210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Área</w:t>
            </w:r>
          </w:p>
        </w:tc>
        <w:tc>
          <w:tcPr>
            <w:tcW w:w="220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Situação</w:t>
            </w:r>
          </w:p>
        </w:tc>
        <w:tc>
          <w:tcPr>
            <w:tcW w:w="506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Observação</w:t>
            </w:r>
          </w:p>
        </w:tc>
      </w:tr>
      <w:tr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Produção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Domínio correto confirmado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Todas as alterações devem mirar rodrigopujaniadvocacia.com.br; não usar pujani.kdkhost.com.br como alvo de publicação.</w:t>
            </w:r>
          </w:p>
        </w:tc>
      </w:tr>
      <w:tr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Assinatura eletrônica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Implementação reforçada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O cliente lê o PDF original por link individual, assina com consentimento e recebe cópia do PDF assinado por e-mail.</w:t>
            </w:r>
          </w:p>
        </w:tc>
      </w:tr>
      <w:tr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Configuração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Painel administrativo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 assinatura passa a ser ativada em Operação &gt; Sistema &gt; Assinaturas, com prazos gravados no banco.</w:t>
            </w:r>
          </w:p>
        </w:tc>
      </w:tr>
      <w:tr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Feature flag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Padrão seguro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Instalações novas continuam desativadas até ativação assistida e validação de SMTP.</w:t>
            </w:r>
          </w:p>
        </w:tc>
      </w:tr>
      <w:tr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Documentação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Atualizada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Changelog do painel atualizado para a versão 2.5.1.</w:t>
            </w:r>
          </w:p>
        </w:tc>
      </w:tr>
      <w:tr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Validação local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Aprovada</w:t>
            </w:r>
          </w:p>
        </w:tc>
        <w:tc>
          <w:tcPr>
            <w:tcW w:w="5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Suíte completa: 222 testes, 1527 asserções, 2 pulados.</w:t>
            </w:r>
          </w:p>
        </w:tc>
      </w:tr>
    </w:tbl>
    <w:p>
      <w:pPr>
        <w:pStyle w:val="Heading1"/>
      </w:pPr>
      <w:r>
        <w:t xml:space="preserve">Mudanças entregues nesta atualização</w:t>
      </w:r>
    </w:p>
    <w:tbl>
      <w:tblPr>
        <w:tblW w:w="9360" w:type="dxa"/>
        <w:tblLayout w:type="fixe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676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Resultado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Configuração por banco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Criada a seção Assinaturas nas configurações do sistema, usando a tabela settings para ativação, provedor interno e prazos.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Leitura antes do aceite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 tela pública de assinatura exibe botão para abrir o PDF original protegido por SHA-256 antes da confirmação.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Cópia automática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Ao concluir a solicitação, a notificação de conclusão anexa o PDF assinado ao e-mail dos signatários.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Guarda no sistema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O PDF assinado e o comprovante JSON permanecem no storage privado e seguem disponíveis no painel e no portal do cliente autorizado.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Duas assinaturas em ordem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Teste automatizado cobre primeiro signatário, liberação do segundo, conclusão, evidência e anexo por e-mail.</w:t>
            </w:r>
          </w:p>
        </w:tc>
      </w:tr>
      <w:t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Documentação e changelog</w:t>
            </w:r>
          </w:p>
        </w:tc>
        <w:tc>
          <w:tcPr>
            <w:tcW w:w="6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 documentação integrada remove a orientação de editar .env para operação normal e orienta ativação pelo painel.</w:t>
            </w:r>
          </w:p>
        </w:tc>
      </w:tr>
    </w:tbl>
    <w:p>
      <w:pPr>
        <w:pStyle w:val="Heading1"/>
      </w:pPr>
      <w:r>
        <w:t xml:space="preserve">Fluxo funcional da assinatura eletrônica interna</w:t>
      </w:r>
    </w:p>
    <w:tbl>
      <w:tblPr>
        <w:tblW w:w="9360" w:type="dxa"/>
        <w:tblLayout w:type="fixe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00"/>
        <w:gridCol w:w="8460"/>
      </w:tblGrid>
      <w:tr>
        <w:trPr>
          <w:tblHeader/>
        </w:trPr>
        <w:tc>
          <w:tcPr>
            <w:tcW w:w="90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Etapa</w:t>
            </w:r>
          </w:p>
        </w:tc>
        <w:tc>
          <w:tcPr>
            <w:tcW w:w="846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Comportamento esperado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1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Advogado ou usuário autorizado seleciona um PDF privado com SHA-256 confirmado.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2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Sistema cria solicitação vinculada ao cliente, processo e documento jurídico.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3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Convites individuais são enviados por SMTP, respeitando ordem quando configurada.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4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Cliente abre link pessoal, visualiza o hash e abre o PDF original para leitura.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5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Cliente confirma nome e CPF/CNPJ quando exigido, aceita os termos e assina.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6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Eventos append-only registram visualização, assinatura, conclusão, IP, dispositivo e hashes.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7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PDF assinado é gerado com certificado de evidências e fica no storage privado.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8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Sistema envia automaticamente cópia do PDF assinado por e-mail ao signatário.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9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Escritório e advogado responsável acessam o documento pelo painel, conforme permissões.</w:t>
            </w:r>
          </w:p>
        </w:tc>
      </w:tr>
      <w:tr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10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Cliente autorizado acessa documento assinado e comprovante pelo portal.</w:t>
            </w:r>
          </w:p>
        </w:tc>
      </w:tr>
    </w:tbl>
    <w:p>
      <w:pPr>
        <w:pStyle w:val="Heading1"/>
      </w:pPr>
      <w:r>
        <w:t xml:space="preserve">Validações executadas nesta rodada</w:t>
      </w:r>
    </w:p>
    <w:tbl>
      <w:tblPr>
        <w:tblW w:w="9360" w:type="dxa"/>
        <w:tblLayout w:type="fixe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300"/>
        <w:gridCol w:w="6060"/>
      </w:tblGrid>
      <w:tr>
        <w:trPr>
          <w:tblHeader/>
        </w:trPr>
        <w:tc>
          <w:tcPr>
            <w:tcW w:w="330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Validação</w:t>
            </w:r>
          </w:p>
        </w:tc>
        <w:tc>
          <w:tcPr>
            <w:tcW w:w="606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Resultado</w:t>
            </w:r>
          </w:p>
        </w:tc>
      </w:tr>
      <w:tr>
        <w:tc>
          <w:tcPr>
            <w:tcW w:w="3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Testes focados de assinatura/configuração/encoding</w:t>
            </w:r>
          </w:p>
        </w:tc>
        <w:tc>
          <w:tcPr>
            <w:tcW w:w="6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17 testes, 157 asserções, aprovados.</w:t>
            </w:r>
          </w:p>
        </w:tc>
      </w:tr>
      <w:tr>
        <w:tc>
          <w:tcPr>
            <w:tcW w:w="3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Testes de segurança, documentação, autorização e SMTP</w:t>
            </w:r>
          </w:p>
        </w:tc>
        <w:tc>
          <w:tcPr>
            <w:tcW w:w="6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35 testes, 537 asserções, aprovados.</w:t>
            </w:r>
          </w:p>
        </w:tc>
      </w:tr>
      <w:tr>
        <w:tc>
          <w:tcPr>
            <w:tcW w:w="3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Suíte completa PHPUnit</w:t>
            </w:r>
          </w:p>
        </w:tc>
        <w:tc>
          <w:tcPr>
            <w:tcW w:w="6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222 testes, 1527 asserções, 2 pulados, aprovada.</w:t>
            </w:r>
          </w:p>
        </w:tc>
      </w:tr>
      <w:tr>
        <w:tc>
          <w:tcPr>
            <w:tcW w:w="3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PHP lint</w:t>
            </w:r>
          </w:p>
        </w:tc>
        <w:tc>
          <w:tcPr>
            <w:tcW w:w="6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309 arquivos PHP verificados sem erro de sintaxe.</w:t>
            </w:r>
          </w:p>
        </w:tc>
      </w:tr>
      <w:tr>
        <w:tc>
          <w:tcPr>
            <w:tcW w:w="3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Composer audit</w:t>
            </w:r>
          </w:p>
        </w:tc>
        <w:tc>
          <w:tcPr>
            <w:tcW w:w="6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Nenhuma vulnerabilidade reportada.</w:t>
            </w:r>
          </w:p>
        </w:tc>
      </w:tr>
      <w:tr>
        <w:tc>
          <w:tcPr>
            <w:tcW w:w="3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npm audit e npm audit --omit=dev</w:t>
            </w:r>
          </w:p>
        </w:tc>
        <w:tc>
          <w:tcPr>
            <w:tcW w:w="6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0 vulnerabilidades.</w:t>
            </w:r>
          </w:p>
        </w:tc>
      </w:tr>
      <w:tr>
        <w:tc>
          <w:tcPr>
            <w:tcW w:w="3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Build Vite</w:t>
            </w:r>
          </w:p>
        </w:tc>
        <w:tc>
          <w:tcPr>
            <w:tcW w:w="6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Aprovado; permanecem avisos conhecidos de asset hero-home.jpg em runtime e chunks grandes.</w:t>
            </w:r>
          </w:p>
        </w:tc>
      </w:tr>
      <w:tr>
        <w:tc>
          <w:tcPr>
            <w:tcW w:w="33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UTF-8, BOM e mojibake</w:t>
            </w:r>
          </w:p>
        </w:tc>
        <w:tc>
          <w:tcPr>
            <w:tcW w:w="60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Arquivos versionados de texto: UTF-8 inválido 0, BOM 0, candidatos a mojibake 0.</w:t>
            </w:r>
          </w:p>
        </w:tc>
      </w:tr>
    </w:tbl>
    <w:p>
      <w:pPr>
        <w:pStyle w:val="Heading1"/>
      </w:pPr>
      <w:r>
        <w:t xml:space="preserve">Pendências e riscos residuais</w:t>
      </w:r>
    </w:p>
    <w:tbl>
      <w:tblPr>
        <w:tblW w:w="9360" w:type="dxa"/>
        <w:tblLayout w:type="fixe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200"/>
        <w:gridCol w:w="8160"/>
      </w:tblGrid>
      <w:tr>
        <w:trPr>
          <w:tblHeader/>
        </w:trPr>
        <w:tc>
          <w:tcPr>
            <w:tcW w:w="120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Prioridade</w:t>
            </w:r>
          </w:p>
        </w:tc>
        <w:tc>
          <w:tcPr>
            <w:tcW w:w="8160" w:type="dxa"/>
            <w:shd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</w:rPr>
              <w:t xml:space="preserve">Pendência</w:t>
            </w:r>
          </w:p>
        </w:tc>
      </w:tr>
      <w:tr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Alta</w:t>
            </w:r>
          </w:p>
        </w:tc>
        <w:tc>
          <w:tcPr>
            <w:tcW w:w="8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Publicar a atualização no servidor correto e limpar caches Laravel após o deploy.</w:t>
            </w:r>
          </w:p>
        </w:tc>
      </w:tr>
      <w:tr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Alta</w:t>
            </w:r>
          </w:p>
        </w:tc>
        <w:tc>
          <w:tcPr>
            <w:tcW w:w="8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Confirmar SMTP real em produção antes de ativar a assinatura para clientes reais.</w:t>
            </w:r>
          </w:p>
        </w:tc>
      </w:tr>
      <w:tr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Alta</w:t>
            </w:r>
          </w:p>
        </w:tc>
        <w:tc>
          <w:tcPr>
            <w:tcW w:w="8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Executar teste funcional real com dados fictícios antes de considerar a assinatura liberada operacionalmente.</w:t>
            </w:r>
          </w:p>
        </w:tc>
      </w:tr>
      <w:tr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Média</w:t>
            </w:r>
          </w:p>
        </w:tc>
        <w:tc>
          <w:tcPr>
            <w:tcW w:w="8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Resolver DJEN HTTP 403 antes de declarar o módulo DJEN plenamente operacional.</w:t>
            </w:r>
          </w:p>
        </w:tc>
      </w:tr>
      <w:tr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Média</w:t>
            </w:r>
          </w:p>
        </w:tc>
        <w:tc>
          <w:tcPr>
            <w:tcW w:w="8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Configurar Google Calendar no painel com credenciais reais e validar OAuth.</w:t>
            </w:r>
          </w:p>
        </w:tc>
      </w:tr>
      <w:tr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Média</w:t>
            </w:r>
          </w:p>
        </w:tc>
        <w:tc>
          <w:tcPr>
            <w:tcW w:w="8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Decidir/configurar IA jurídica ou manter formalmente desativada.</w:t>
            </w:r>
          </w:p>
        </w:tc>
      </w:tr>
      <w:tr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Baixa</w:t>
            </w:r>
          </w:p>
        </w:tc>
        <w:tc>
          <w:tcPr>
            <w:tcW w:w="8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/>
              <w:t xml:space="preserve">Planejar code splitting do Vite para reduzir chunks grandes.</w:t>
            </w:r>
          </w:p>
        </w:tc>
      </w:tr>
    </w:tbl>
    <w:p>
      <w:pPr>
        <w:pStyle w:val="Heading1"/>
      </w:pPr>
      <w:r>
        <w:t xml:space="preserve">Conclusão técnica</w:t>
      </w:r>
    </w:p>
    <w:p>
      <w:r>
        <w:t xml:space="preserve">A Central Jurídica passa a ter o fluxo de assinatura eletrônica interna alinhado ao pedido operacional: o advogado envia o documento, o cliente lê o PDF original, assina eletronicamente, recebe cópia automática por e-mail e o escritório mantém a via assinada no sistema. A funcionalidade ainda deve permanecer desativada até a publicação, cache limpo, SMTP real validado e teste funcional controlado em produção.</w:t>
      </w:r>
    </w:p>
    <w:p>
      <w:r>
        <w:t xml:space="preserve">Observação legal: a assinatura eletrônica interna registra evidências técnicas e trilha de auditoria, mas não equivale a certificado digital ICP-Brasil. Se esse nível for obrigatório, será necessária integração com provedor externo homologado.</w:t>
      </w:r>
    </w:p>
    <w:p>
      <w:pPr>
        <w:pStyle w:val="Heading1"/>
      </w:pPr>
      <w:r>
        <w:t>Atualização técnica - 21/09/2026</w:t>
      </w:r>
    </w:p>
    <w:p>
      <w:r>
        <w:t>Editor visual de documentos: foi implementado o editor no-code para templates jurídicos em folha A4, com posicionamento em milímetros, arrasta-e-solta de elementos, múltiplas páginas e preservação de fidelidade entre criação, geração em PDF, assinatura e impressão.</w:t>
      </w:r>
    </w:p>
    <w:p>
      <w:r>
        <w:t>Papel timbrado e fundo: o plano de fundo ocupa a página A4 inteira por padrão, possui opacidade configurável e agora pode ser enviado no próprio painel por upload com arrasta-e-solta, gravado como mídia pública controlada em uploads/legal-document-backgrounds/.</w:t>
      </w:r>
    </w:p>
    <w:p>
      <w:r>
        <w:t>Assinaturas e testemunhas: o template visual permite posicionar a assinatura do cliente na última página e adicionar campos opcionais de testemunhas por ordem de signatário. Templates visuais milimétricos são gerados em PDF, evitando divergência de layout em DOCX.</w:t>
      </w:r>
    </w:p>
    <w:p>
      <w:r>
        <w:t>Assinatura eletrônica desenhada: o formulário público passou a exigir assinatura real no canvas, com desfazer, borracha e limpar assinatura. Pontinhos, riscos mínimos ou rabiscos sem métricas suficientes são rejeitados.</w:t>
      </w:r>
    </w:p>
    <w:p>
      <w:r>
        <w:t>Evidências: a imagem da assinatura é armazenada em área privada do módulo, com SHA-256 e métricas registradas no comprovante JSON e nos eventos append-only.</w:t>
      </w:r>
    </w:p>
    <w:p>
      <w:r>
        <w:t>Validações locais executadas: LegalDocumentGeneratorTest, ElectronicSignatureTest, SignatureContentEncodingTest e build Vite passaram; a suíte completa anterior a este ajuste também passou com 222 testes aprovados e 2 ignorados esperados.</w:t>
      </w:r>
    </w:p>
    <w:p>
      <w:r>
        <w:t>Pendências antes da entrega final: publicar o novo SHA no servidor correto, executar migration incremental das colunas de assinatura desenhada, limpar caches Laravel, validar a tela autenticada do editor visual no painel, gerar um PDF de teste com papel timbrado e repetir o fluxo real de assinatura com dados fictícios.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59" w:lineRule="auto"/>
    </w:pPr>
    <w:rPr>
      <w:rFonts w:ascii="Arial" w:hAnsi="Arial"/>
      <w:sz w:val="24"/>
    </w:rPr>
  </w:style>
  <w:style w:type="paragraph" w:styleId="Title">
    <w:name w:val="Title"/>
    <w:basedOn w:val="Normal"/>
    <w:next w:val="Subtitle"/>
    <w:qFormat/>
    <w:pPr>
      <w:spacing w:after="180"/>
    </w:pPr>
    <w:rPr>
      <w:b/>
      <w:color w:val="111827"/>
      <w:sz w:val="36"/>
    </w:rPr>
  </w:style>
  <w:style w:type="paragraph" w:styleId="Subtitle">
    <w:name w:val="Subtitle"/>
    <w:basedOn w:val="Normal"/>
    <w:next w:val="Normal"/>
    <w:qFormat/>
    <w:rPr>
      <w:color w:val="4B5563"/>
      <w:sz w:val="22"/>
    </w:rPr>
  </w:style>
  <w:style w:type="paragraph" w:styleId="Heading1">
    <w:name w:val="heading 1"/>
    <w:basedOn w:val="Normal"/>
    <w:next w:val="Normal"/>
    <w:qFormat/>
    <w:pPr>
      <w:keepNext/>
      <w:spacing w:before="300" w:after="120"/>
      <w:outlineLvl w:val="0"/>
    </w:pPr>
    <w:rPr>
      <w:b/>
      <w:color w:val="7C5C17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Situação e Prontidão da Central Jurídica</dc:title>
  <dc:creator>Codex</dc:creator>
  <cp:lastModifiedBy>Codex</cp:lastModifiedBy>
  <dcterms:created xsi:type="dcterms:W3CDTF">2026-09-20T18:59:45Z</dcterms:created>
  <dcterms:modified xsi:type="dcterms:W3CDTF">2026-09-20T18:59:45Z</dcterms:modified>
</cp:coreProperties>
</file>