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da Central Jurídica</w:t>
      </w:r>
    </w:p>
    <w:p>
      <w:pPr>
        <w:pStyle w:val="Subtitle"/>
      </w:pPr>
      <w:r>
        <w:t>Atualização técnica — 21/09/2026</w:t>
      </w:r>
    </w:p>
    <w:p>
      <w:pPr>
        <w:pStyle w:val="Heading1"/>
      </w:pPr>
      <w:r>
        <w:t>Resumo executivo</w:t>
      </w:r>
    </w:p>
    <w:p>
      <w:pPr>
        <w:pStyle w:val="ListParagraph"/>
        <w:ind w:left="720" w:hanging="360"/>
      </w:pPr>
      <w:r>
        <w:t>• Esta atualização corrige a lacuna operacional do envio para assinatura: agora a tela de nova solicitação permite selecionar um PDF privado já cadastrado ou anexar um PDF diretamente no momento do envio.</w:t>
      </w:r>
    </w:p>
    <w:p>
      <w:pPr>
        <w:pStyle w:val="ListParagraph"/>
        <w:ind w:left="720" w:hanging="360"/>
      </w:pPr>
      <w:r>
        <w:t>• O documento anexado pela tela de assinatura é salvo no storage privado legal_documents, recebe SHA-256, fica vinculado ao cliente/processo e só então é usado para gerar a solicitação com tokens individuais.</w:t>
      </w:r>
    </w:p>
    <w:p>
      <w:pPr>
        <w:pStyle w:val="ListParagraph"/>
        <w:ind w:left="720" w:hanging="360"/>
      </w:pPr>
      <w:r>
        <w:t>• O módulo continua protegido por feature flag. Enquanto a assinatura eletrônica estiver desativada, menus e rotas permanecem ocultos ou retornam 404, preservando o comportamento seguro já validado.</w:t>
      </w:r>
    </w:p>
    <w:p>
      <w:pPr>
        <w:pStyle w:val="Heading1"/>
      </w:pPr>
      <w:r>
        <w:t>Implementações concluídas nesta etapa</w:t>
      </w:r>
    </w:p>
    <w:p>
      <w:pPr>
        <w:pStyle w:val="ListParagraph"/>
        <w:ind w:left="720" w:hanging="360"/>
      </w:pPr>
      <w:r>
        <w:t>• Tela de nova assinatura reorganizada em cards, seguindo o padrão visual administrativo.</w:t>
      </w:r>
    </w:p>
    <w:p>
      <w:pPr>
        <w:pStyle w:val="ListParagraph"/>
        <w:ind w:left="720" w:hanging="360"/>
      </w:pPr>
      <w:r>
        <w:t>• Opção Selecionar documento existente, exibindo somente PDFs privados elegíveis com cliente vinculado e hash SHA-256.</w:t>
      </w:r>
    </w:p>
    <w:p>
      <w:pPr>
        <w:pStyle w:val="ListParagraph"/>
        <w:ind w:left="720" w:hanging="360"/>
      </w:pPr>
      <w:r>
        <w:t>• Opção Anexar PDF agora, com seleção de cliente, processo opcional, título do documento e upload de PDF real.</w:t>
      </w:r>
    </w:p>
    <w:p>
      <w:pPr>
        <w:pStyle w:val="ListParagraph"/>
        <w:ind w:left="720" w:hanging="360"/>
      </w:pPr>
      <w:r>
        <w:t>• Botão Enviar para assinatura nos documentos elegíveis, substituindo o rótulo ambíguo Assinar.</w:t>
      </w:r>
    </w:p>
    <w:p>
      <w:pPr>
        <w:pStyle w:val="ListParagraph"/>
        <w:ind w:left="720" w:hanging="360"/>
      </w:pPr>
      <w:r>
        <w:t>• Badges na tabela de documentos indicando quando o arquivo está pronto para assinatura ou quando o módulo está desativado.</w:t>
      </w:r>
    </w:p>
    <w:p>
      <w:pPr>
        <w:pStyle w:val="ListParagraph"/>
        <w:ind w:left="720" w:hanging="360"/>
      </w:pPr>
      <w:r>
        <w:t>• Validação de cliente/processo para impedir vínculo incorreto entre documento, cliente e caso.</w:t>
      </w:r>
    </w:p>
    <w:p>
      <w:pPr>
        <w:pStyle w:val="ListParagraph"/>
        <w:ind w:left="720" w:hanging="360"/>
      </w:pPr>
      <w:r>
        <w:t>• Documentação interna atualizada para explicar os dois caminhos de envio.</w:t>
      </w:r>
    </w:p>
    <w:p>
      <w:pPr>
        <w:pStyle w:val="ListParagraph"/>
        <w:ind w:left="720" w:hanging="360"/>
      </w:pPr>
      <w:r>
        <w:t>• Changelog atualizado para a versão 2.5.3.</w:t>
      </w:r>
    </w:p>
    <w:p>
      <w:pPr>
        <w:pStyle w:val="Heading1"/>
      </w:pPr>
      <w:r>
        <w:t>Arquivos e módulos alterados</w:t>
      </w:r>
    </w:p>
    <w:p>
      <w:pPr>
        <w:pStyle w:val="ListParagraph"/>
        <w:ind w:left="720" w:hanging="360"/>
      </w:pPr>
      <w:r>
        <w:t>• SignatureRequestController.php: passou a aceitar fonte de documento existente ou upload novo, mantendo validação de permissão, storage privado e elegibilidade para assinatura.</w:t>
      </w:r>
    </w:p>
    <w:p>
      <w:pPr>
        <w:pStyle w:val="ListParagraph"/>
        <w:ind w:left="720" w:hanging="360"/>
      </w:pPr>
      <w:r>
        <w:t>• resources/views/admin/signature-requests/create.blade.php: tela refeita com seleção de fonte, upload de PDF, cliente/processo, signatários e instruções claras.</w:t>
      </w:r>
    </w:p>
    <w:p>
      <w:pPr>
        <w:pStyle w:val="ListParagraph"/>
        <w:ind w:left="720" w:hanging="360"/>
      </w:pPr>
      <w:r>
        <w:t>• resources/views/admin/legal-documents/_table.blade.php: botão Enviar para assinatura e indicadores de elegibilidade do documento.</w:t>
      </w:r>
    </w:p>
    <w:p>
      <w:pPr>
        <w:pStyle w:val="ListParagraph"/>
        <w:ind w:left="720" w:hanging="360"/>
      </w:pPr>
      <w:r>
        <w:t>• resources/css/admin.css: estilos dos cards, opções de origem do documento e lista de signatários.</w:t>
      </w:r>
    </w:p>
    <w:p>
      <w:pPr>
        <w:pStyle w:val="ListParagraph"/>
        <w:ind w:left="720" w:hanging="360"/>
      </w:pPr>
      <w:r>
        <w:t>• resources/views/admin/documentation/index.blade.php: documentação regravada em UTF-8 correto e histórico atualizado.</w:t>
      </w:r>
    </w:p>
    <w:p>
      <w:pPr>
        <w:pStyle w:val="ListParagraph"/>
        <w:ind w:left="720" w:hanging="360"/>
      </w:pPr>
      <w:r>
        <w:t>• ElectronicSignatureTest.php: cobertura para tela com seleção/upload e criação de solicitação anexando PDF direto.</w:t>
      </w:r>
    </w:p>
    <w:p>
      <w:pPr>
        <w:pStyle w:val="Heading1"/>
      </w:pPr>
      <w:r>
        <w:t>Validações executadas</w:t>
      </w:r>
    </w:p>
    <w:p>
      <w:pPr>
        <w:pStyle w:val="ListParagraph"/>
        <w:ind w:left="720" w:hanging="360"/>
      </w:pPr>
      <w:r>
        <w:t>• Teste específico de assinatura eletrônica: 12 testes aprovados, 91 asserções.</w:t>
      </w:r>
    </w:p>
    <w:p>
      <w:pPr>
        <w:pStyle w:val="ListParagraph"/>
        <w:ind w:left="720" w:hanging="360"/>
      </w:pPr>
      <w:r>
        <w:t>• Teste da feature flag: 4 testes aprovados, confirmando que o módulo permanece oculto/inativo quando desativado.</w:t>
      </w:r>
    </w:p>
    <w:p>
      <w:pPr>
        <w:pStyle w:val="ListParagraph"/>
        <w:ind w:left="720" w:hanging="360"/>
      </w:pPr>
      <w:r>
        <w:t>• Suíte completa: 231 testes aprovados, 2 pulados por limitações conhecidas do Windows, 1614 asserções.</w:t>
      </w:r>
    </w:p>
    <w:p>
      <w:pPr>
        <w:pStyle w:val="ListParagraph"/>
        <w:ind w:left="720" w:hanging="360"/>
      </w:pPr>
      <w:r>
        <w:t>• php artisan view:cache executado com sucesso.</w:t>
      </w:r>
    </w:p>
    <w:p>
      <w:pPr>
        <w:pStyle w:val="ListParagraph"/>
        <w:ind w:left="720" w:hanging="360"/>
      </w:pPr>
      <w:r>
        <w:t>• npm run build executado com sucesso; permanece apenas o aviso não bloqueante de chunk grande do Vite.</w:t>
      </w:r>
    </w:p>
    <w:p>
      <w:pPr>
        <w:pStyle w:val="ListParagraph"/>
        <w:ind w:left="720" w:hanging="360"/>
      </w:pPr>
      <w:r>
        <w:t>• composer audit --locked: sem vulnerabilidades reportadas.</w:t>
      </w:r>
    </w:p>
    <w:p>
      <w:pPr>
        <w:pStyle w:val="ListParagraph"/>
        <w:ind w:left="720" w:hanging="360"/>
      </w:pPr>
      <w:r>
        <w:t>• npm audit e npm audit --omit=dev: zero vulnerabilidades.</w:t>
      </w:r>
    </w:p>
    <w:p>
      <w:pPr>
        <w:pStyle w:val="ListParagraph"/>
        <w:ind w:left="720" w:hanging="360"/>
      </w:pPr>
      <w:r>
        <w:t>• git diff --check executado sem erros.</w:t>
      </w:r>
    </w:p>
    <w:p>
      <w:pPr>
        <w:pStyle w:val="Heading1"/>
      </w:pPr>
      <w:r>
        <w:t>Como enviar um documento para assinatura</w:t>
      </w:r>
    </w:p>
    <w:p>
      <w:pPr>
        <w:pStyle w:val="ListParagraph"/>
        <w:ind w:left="720" w:hanging="360"/>
      </w:pPr>
      <w:r>
        <w:t>• Ative o módulo em Operação &gt; Sistema &gt; Assinaturas somente depois de SMTP validado.</w:t>
      </w:r>
    </w:p>
    <w:p>
      <w:pPr>
        <w:pStyle w:val="ListParagraph"/>
        <w:ind w:left="720" w:hanging="360"/>
      </w:pPr>
      <w:r>
        <w:t>• Se o PDF já estiver cadastrado em Jurídico &gt; Documentos, clique em Enviar para assinatura no documento elegível.</w:t>
      </w:r>
    </w:p>
    <w:p>
      <w:pPr>
        <w:pStyle w:val="ListParagraph"/>
        <w:ind w:left="720" w:hanging="360"/>
      </w:pPr>
      <w:r>
        <w:t>• Se o PDF ainda não estiver cadastrado, acesse Jurídico &gt; Assinaturas &gt; Nova solicitação e escolha Anexar PDF agora.</w:t>
      </w:r>
    </w:p>
    <w:p>
      <w:pPr>
        <w:pStyle w:val="ListParagraph"/>
        <w:ind w:left="720" w:hanging="360"/>
      </w:pPr>
      <w:r>
        <w:t>• Informe cliente, processo opcional, título do documento, PDF, título da solicitação, prazo, mensagem e signatários.</w:t>
      </w:r>
    </w:p>
    <w:p>
      <w:pPr>
        <w:pStyle w:val="ListParagraph"/>
        <w:ind w:left="720" w:hanging="360"/>
      </w:pPr>
      <w:r>
        <w:t>• Marque Exigir ordem quando o segundo signatário só puder receber o convite depois da assinatura anterior.</w:t>
      </w:r>
    </w:p>
    <w:p>
      <w:pPr>
        <w:pStyle w:val="ListParagraph"/>
        <w:ind w:left="720" w:hanging="360"/>
      </w:pPr>
      <w:r>
        <w:t>• Clique em Criar e enviar para assinatura. O cliente receberá link individual por e-mail.</w:t>
      </w:r>
    </w:p>
    <w:p>
      <w:pPr>
        <w:pStyle w:val="ListParagraph"/>
        <w:ind w:left="720" w:hanging="360"/>
      </w:pPr>
      <w:r>
        <w:t>• Depois da conclusão, baixe o PDF assinado e o comprovante JSON pela tela da solicitação.</w:t>
      </w:r>
    </w:p>
    <w:p>
      <w:pPr>
        <w:pStyle w:val="Heading1"/>
      </w:pPr>
      <w:r>
        <w:t>Riscos residuais e observações</w:t>
      </w:r>
    </w:p>
    <w:p>
      <w:pPr>
        <w:pStyle w:val="ListParagraph"/>
        <w:ind w:left="720" w:hanging="360"/>
      </w:pPr>
      <w:r>
        <w:t>• A assinatura eletrônica interna não equivale a certificado digital ICP-Brasil.</w:t>
      </w:r>
    </w:p>
    <w:p>
      <w:pPr>
        <w:pStyle w:val="ListParagraph"/>
        <w:ind w:left="720" w:hanging="360"/>
      </w:pPr>
      <w:r>
        <w:t>• A ativação em produção deve continuar condicionada ao SMTP real funcionando e à validação de fluxo completo com dados de teste.</w:t>
      </w:r>
    </w:p>
    <w:p>
      <w:pPr>
        <w:pStyle w:val="ListParagraph"/>
        <w:ind w:left="720" w:hanging="360"/>
      </w:pPr>
      <w:r>
        <w:t>• A renderização visual automática deste DOCX não foi concluída porque o ambiente atual não possui LibreOffice/soffice disponível.</w:t>
      </w:r>
    </w:p>
    <w:p>
      <w:pPr>
        <w:pStyle w:val="ListParagraph"/>
        <w:ind w:left="720" w:hanging="360"/>
      </w:pPr>
      <w:r>
        <w:t>• Nenhuma credencial, token, senha SMTP, conteúdo de .env ou dado real de cliente foi incluído neste relatório.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rFonts w:ascii="Arial" w:hAnsi="Arial"/>
      <w:sz w:val="40"/>
    </w:rPr>
  </w:style>
  <w:style w:type="paragraph" w:styleId="Subtitle">
    <w:name w:val="Subtitle"/>
    <w:rPr>
      <w:rFonts w:ascii="Arial" w:hAnsi="Arial"/>
      <w:sz w:val="24"/>
      <w:color w:val="666666"/>
    </w:rPr>
  </w:style>
  <w:style w:type="paragraph" w:styleId="Heading1">
    <w:name w:val="heading 1"/>
    <w:basedOn w:val="Normal"/>
    <w:pPr>
      <w:spacing w:before="240" w:after="120"/>
    </w:pPr>
    <w:rPr>
      <w:b/>
      <w:rFonts w:ascii="Arial" w:hAnsi="Arial"/>
      <w:sz w:val="28"/>
    </w:rPr>
  </w:style>
  <w:style w:type="paragraph" w:styleId="ListParagraph">
    <w:name w:val="List Paragraph"/>
    <w:basedOn w:val="Normal"/>
    <w:pPr>
      <w:spacing w:after="120"/>
    </w:pPr>
    <w:rPr>
      <w:rFonts w:ascii="Arial" w:hAnsi="Arial"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Relatório da Central Jurídica</dc:title>
  <dc:creator>Codex</dc:creator>
  <cp:lastModifiedBy>Codex</cp:lastModifiedBy>
  <dcterms:created xsi:type="dcterms:W3CDTF">2026-09-21T21:52:10Z</dcterms:created>
  <dcterms:modified xsi:type="dcterms:W3CDTF">2026-09-21T21:52:10Z</dcterms:modified>
</cp:coreProperties>
</file>