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80"/>
        <w:jc w:val="center"/>
      </w:pPr>
      <w:r>
        <w:rPr>
          <w:rFonts w:ascii="Arial" w:cs="Arial" w:eastAsia="Arial" w:hAnsi="Arial"/>
          <w:b/>
          <w:bCs/>
          <w:color w:val="1B2A4A"/>
          <w:sz w:val="52"/>
          <w:szCs w:val="52"/>
        </w:rPr>
        <w:t xml:space="preserve">PEAK 10 ENERGY</w:t>
      </w:r>
    </w:p>
    <w:p>
      <w:pPr>
        <w:spacing w:after="40"/>
        <w:jc w:val="center"/>
      </w:pPr>
      <w:r>
        <w:rPr>
          <w:rFonts w:ascii="Arial" w:cs="Arial" w:eastAsia="Arial" w:hAnsi="Arial"/>
          <w:color w:val="2E75B6"/>
          <w:sz w:val="32"/>
          <w:szCs w:val="32"/>
        </w:rPr>
        <w:t xml:space="preserve">Outlook Organization, Calendar Management</w:t>
      </w:r>
    </w:p>
    <w:p>
      <w:pPr>
        <w:spacing w:after="40"/>
        <w:jc w:val="center"/>
      </w:pPr>
      <w:r>
        <w:rPr>
          <w:rFonts w:ascii="Arial" w:cs="Arial" w:eastAsia="Arial" w:hAnsi="Arial"/>
          <w:color w:val="2E75B6"/>
          <w:sz w:val="32"/>
          <w:szCs w:val="32"/>
        </w:rPr>
        <w:t xml:space="preserve">&amp; Email Intelligence System</w:t>
      </w:r>
    </w:p>
    <w:p>
      <w:pPr>
        <w:spacing w:after="200"/>
      </w:pPr>
    </w:p>
    <w:p>
      <w:pPr>
        <w:pBdr>
          <w:top w:val="single" w:color="2E75B6" w:sz="4" w:space="8"/>
          <w:bottom w:val="single" w:color="2E75B6" w:sz="4" w:space="8"/>
        </w:pBdr>
        <w:spacing w:before="200" w:after="200"/>
        <w:jc w:val="center"/>
      </w:pPr>
      <w:r>
        <w:rPr>
          <w:rFonts w:ascii="Arial" w:cs="Arial" w:eastAsia="Arial" w:hAnsi="Arial"/>
          <w:b/>
          <w:bCs/>
          <w:color w:val="1B2A4A"/>
          <w:sz w:val="28"/>
          <w:szCs w:val="28"/>
        </w:rPr>
        <w:t xml:space="preserve">PROJECT EXECUTION MAP</w:t>
      </w:r>
    </w:p>
    <w:p>
      <w:pPr>
        <w:spacing w:after="200"/>
      </w:pPr>
    </w:p>
    <w:p>
      <w:pPr>
        <w:jc w:val="center"/>
      </w:pPr>
      <w:r>
        <w:rPr>
          <w:rFonts w:ascii="Arial" w:cs="Arial" w:eastAsia="Arial" w:hAnsi="Arial"/>
          <w:color w:val="555555"/>
          <w:sz w:val="22"/>
          <w:szCs w:val="22"/>
        </w:rPr>
        <w:t xml:space="preserve">Prepared for K. McQuire, CEO</w:t>
      </w:r>
    </w:p>
    <w:p>
      <w:pPr>
        <w:jc w:val="center"/>
      </w:pPr>
      <w:r>
        <w:rPr>
          <w:rFonts w:ascii="Arial" w:cs="Arial" w:eastAsia="Arial" w:hAnsi="Arial"/>
          <w:color w:val="555555"/>
          <w:sz w:val="22"/>
          <w:szCs w:val="22"/>
        </w:rPr>
        <w:t xml:space="preserve">February 2026</w:t>
      </w:r>
    </w:p>
    <w:p>
      <w:pPr>
        <w:jc w:val="center"/>
      </w:pPr>
      <w:r>
        <w:rPr>
          <w:rFonts w:ascii="Arial" w:cs="Arial" w:eastAsia="Arial" w:hAnsi="Arial"/>
          <w:i/>
          <w:iCs/>
          <w:color w:val="888888"/>
          <w:sz w:val="20"/>
          <w:szCs w:val="20"/>
        </w:rPr>
        <w:t xml:space="preserve">Version 1.0 — For Review &amp; Approval</w:t>
      </w:r>
    </w:p>
    <w:p>
      <w:r>
        <w:br w:type="page"/>
      </w:r>
    </w:p>
    <w:p>
      <w:pPr>
        <w:pStyle w:val="Heading1"/>
      </w:pPr>
      <w:r>
        <w:t xml:space="preserve">Executive Summary</w:t>
      </w:r>
    </w:p>
    <w:p>
      <w:pPr>
        <w:spacing w:after="120"/>
      </w:pPr>
      <w:r>
        <w:rPr>
          <w:rFonts w:ascii="Arial" w:cs="Arial" w:eastAsia="Arial" w:hAnsi="Arial"/>
          <w:sz w:val="22"/>
          <w:szCs w:val="22"/>
        </w:rPr>
        <w:t xml:space="preserve">This document maps the complete project workflow for organizing Peak 10 Energy’s Outlook environment, building an intelligent email reminder and response system, and implementing proactive calendar management. The project addresses a specific set of pain points: emails slipping through the cracks, response decision fatigue consuming mental bandwidth, and missed opportunities for proactive relationship and business development outreach.</w:t>
      </w:r>
    </w:p>
    <w:p>
      <w:pPr>
        <w:spacing w:after="200"/>
      </w:pPr>
    </w:p>
    <w:p>
      <w:pPr>
        <w:spacing w:after="120"/>
      </w:pPr>
      <w:r>
        <w:rPr>
          <w:rFonts w:ascii="Arial" w:cs="Arial" w:eastAsia="Arial" w:hAnsi="Arial"/>
          <w:sz w:val="22"/>
          <w:szCs w:val="22"/>
        </w:rPr>
        <w:t xml:space="preserve">The project is structured in five phases, designed to be executed sequentially with minimal back-and-forth. Approval gates are built in at key decision 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1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Input Required</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 Folder Architecture</w:t>
            </w:r>
          </w:p>
        </w:tc>
        <w:tc>
          <w:tcPr>
            <w:tcW w:type="dxa" w:w="4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Proposed folder hierarchy for all 3 accounts with detailed rationale</w:t>
            </w:r>
          </w:p>
        </w:tc>
        <w:tc>
          <w:tcPr>
            <w:tcW w:type="dxa" w:w="31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Review &amp; approve structure</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 Cataloging Execution</w:t>
            </w:r>
          </w:p>
        </w:tc>
        <w:tc>
          <w:tcPr>
            <w:tcW w:type="dxa" w:w="4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PowerShell/Power Automate scripts to classify and move ~57K emails + ongoing rules</w:t>
            </w:r>
          </w:p>
        </w:tc>
        <w:tc>
          <w:tcPr>
            <w:tcW w:type="dxa" w:w="3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IT person runs scripts; you approve rule exceptions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3. Reminder &amp; Response Intelligence</w:t>
            </w:r>
          </w:p>
        </w:tc>
        <w:tc>
          <w:tcPr>
            <w:tcW w:type="dxa" w:w="4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Working app (desktop + mobile) that surfaces unanswered emails, drafts responses, and tracks sent-but-no-reply</w:t>
            </w:r>
          </w:p>
        </w:tc>
        <w:tc>
          <w:tcPr>
            <w:tcW w:type="dxa" w:w="31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Review prototype; provide feedback on tone/priority calibration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4. Calendar Intelligence</w:t>
            </w:r>
          </w:p>
        </w:tc>
        <w:tc>
          <w:tcPr>
            <w:tcW w:type="dxa" w:w="4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Proactive meeting suggestion engine integrated with email context</w:t>
            </w:r>
          </w:p>
        </w:tc>
        <w:tc>
          <w:tcPr>
            <w:tcW w:type="dxa" w:w="3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Approve meeting suggestion criteria</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5. Deployment &amp; Refinement</w:t>
            </w:r>
          </w:p>
        </w:tc>
        <w:tc>
          <w:tcPr>
            <w:tcW w:type="dxa" w:w="4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Everything live, documented, and self-maintaining</w:t>
            </w:r>
          </w:p>
        </w:tc>
        <w:tc>
          <w:tcPr>
            <w:tcW w:type="dxa" w:w="31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2-week live test and feedback</w:t>
            </w:r>
          </w:p>
        </w:tc>
      </w:tr>
    </w:tbl>
    <w:p>
      <w:r>
        <w:br w:type="page"/>
      </w:r>
    </w:p>
    <w:p>
      <w:pPr>
        <w:pStyle w:val="Heading1"/>
      </w:pPr>
      <w:r>
        <w:t xml:space="preserve">1. Project Context &amp; Constraints</w:t>
      </w:r>
    </w:p>
    <w:p>
      <w:pPr>
        <w:pStyle w:val="Heading2"/>
      </w:pPr>
      <w:r>
        <w:t xml:space="preserve">1.1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Primary Account</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Peak 10 Energy (Microsoft 365, ~57,000 inbox messages)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Personal Account 1</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kmcquire@utexas.edu (Gmail in Outlook, smaller volume)</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Personal Account 2</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kdmcquire@gmail.com (Gmail in Outlook, smaller volume)</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Desktop Outlook (Windows) + Mobile Outlook (Samsung Galaxy Fold)</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IT person manages M365 environment; CEO has user-level access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Archive</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Peak 10 will have an Archive folder; structure will be mirrored Inbox → Archive</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Future Migration</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utexas.edu account will eventually consolidate into kdmcquire@gmail.com (separate project)</w:t>
            </w:r>
          </w:p>
        </w:tc>
      </w:tr>
    </w:tbl>
    <w:p>
      <w:pPr>
        <w:spacing w:after="200"/>
      </w:pPr>
    </w:p>
    <w:p>
      <w:pPr>
        <w:pStyle w:val="Heading2"/>
      </w:pPr>
      <w:r>
        <w:t xml:space="preserve">1.2 Core Pain Points</w:t>
      </w:r>
    </w:p>
    <w:p>
      <w:pPr>
        <w:pStyle w:val="ListParagraph"/>
        <w:numPr>
          <w:ilvl w:val="0"/>
          <w:numId w:val="2"/>
        </w:numPr>
        <w:spacing w:after="80"/>
      </w:pPr>
      <w:r>
        <w:rPr>
          <w:rFonts w:ascii="Arial" w:cs="Arial" w:eastAsia="Arial" w:hAnsi="Arial"/>
          <w:sz w:val="22"/>
          <w:szCs w:val="22"/>
        </w:rPr>
        <w:t xml:space="preserve">Emails requiring response are slipping through — responses happening only after 2–3 follow-ups from the sender</w:t>
      </w:r>
    </w:p>
    <w:p>
      <w:pPr>
        <w:pStyle w:val="ListParagraph"/>
        <w:numPr>
          <w:ilvl w:val="0"/>
          <w:numId w:val="2"/>
        </w:numPr>
        <w:spacing w:after="80"/>
      </w:pPr>
      <w:r>
        <w:rPr>
          <w:rFonts w:ascii="Arial" w:cs="Arial" w:eastAsia="Arial" w:hAnsi="Arial"/>
          <w:sz w:val="22"/>
          <w:szCs w:val="22"/>
        </w:rPr>
        <w:t xml:space="preserve">Decision fatigue around whether to respond, how detailed to be, and what tone to use is consuming significant mental energy</w:t>
      </w:r>
    </w:p>
    <w:p>
      <w:pPr>
        <w:pStyle w:val="ListParagraph"/>
        <w:numPr>
          <w:ilvl w:val="0"/>
          <w:numId w:val="2"/>
        </w:numPr>
        <w:spacing w:after="80"/>
      </w:pPr>
      <w:r>
        <w:rPr>
          <w:rFonts w:ascii="Arial" w:cs="Arial" w:eastAsia="Arial" w:hAnsi="Arial"/>
          <w:sz w:val="22"/>
          <w:szCs w:val="22"/>
        </w:rPr>
        <w:t xml:space="preserve">This decision overhead erodes enthusiasm, creativity, and focus on high-value CEO activities</w:t>
      </w:r>
    </w:p>
    <w:p>
      <w:pPr>
        <w:pStyle w:val="ListParagraph"/>
        <w:numPr>
          <w:ilvl w:val="0"/>
          <w:numId w:val="2"/>
        </w:numPr>
        <w:spacing w:after="80"/>
      </w:pPr>
      <w:r>
        <w:rPr>
          <w:rFonts w:ascii="Arial" w:cs="Arial" w:eastAsia="Arial" w:hAnsi="Arial"/>
          <w:sz w:val="22"/>
          <w:szCs w:val="22"/>
        </w:rPr>
        <w:t xml:space="preserve">No systematic visibility into sent emails that haven’t received a reply</w:t>
      </w:r>
    </w:p>
    <w:p>
      <w:pPr>
        <w:pStyle w:val="ListParagraph"/>
        <w:numPr>
          <w:ilvl w:val="0"/>
          <w:numId w:val="2"/>
        </w:numPr>
        <w:spacing w:after="80"/>
      </w:pPr>
      <w:r>
        <w:rPr>
          <w:rFonts w:ascii="Arial" w:cs="Arial" w:eastAsia="Arial" w:hAnsi="Arial"/>
          <w:sz w:val="22"/>
          <w:szCs w:val="22"/>
        </w:rPr>
        <w:t xml:space="preserve">Calendar does not proactively reflect relationship maintenance or growth opportunities surfaced from email context</w:t>
      </w:r>
    </w:p>
    <w:p>
      <w:pPr>
        <w:spacing w:after="200"/>
      </w:pPr>
    </w:p>
    <w:p>
      <w:pPr>
        <w:pStyle w:val="Heading2"/>
      </w:pPr>
      <w:r>
        <w:t xml:space="preserve">1.3 Access &amp; Execution Model</w:t>
      </w:r>
    </w:p>
    <w:p>
      <w:pPr>
        <w:spacing w:after="120"/>
      </w:pPr>
      <w:r>
        <w:rPr>
          <w:rFonts w:ascii="Arial" w:cs="Arial" w:eastAsia="Arial" w:hAnsi="Arial"/>
          <w:sz w:val="22"/>
          <w:szCs w:val="22"/>
        </w:rPr>
        <w:t xml:space="preserve">Claude cannot directly access the Outlook accounts. The execution model is:</w:t>
      </w:r>
    </w:p>
    <w:p>
      <w:pPr>
        <w:pStyle w:val="ListParagraph"/>
        <w:numPr>
          <w:ilvl w:val="0"/>
          <w:numId w:val="2"/>
        </w:numPr>
        <w:spacing w:after="80"/>
      </w:pPr>
      <w:r>
        <w:rPr>
          <w:rFonts w:ascii="Arial" w:cs="Arial" w:eastAsia="Arial" w:hAnsi="Arial"/>
          <w:sz w:val="22"/>
          <w:szCs w:val="22"/>
        </w:rPr>
        <w:t xml:space="preserve">Claude designs and builds all architecture, scripts, automation flows, and the app</w:t>
      </w:r>
    </w:p>
    <w:p>
      <w:pPr>
        <w:pStyle w:val="ListParagraph"/>
        <w:numPr>
          <w:ilvl w:val="0"/>
          <w:numId w:val="2"/>
        </w:numPr>
        <w:spacing w:after="80"/>
      </w:pPr>
      <w:r>
        <w:rPr>
          <w:rFonts w:ascii="Arial" w:cs="Arial" w:eastAsia="Arial" w:hAnsi="Arial"/>
          <w:sz w:val="22"/>
          <w:szCs w:val="22"/>
        </w:rPr>
        <w:t xml:space="preserve">Claude delivers ready-to-deploy assets (PowerShell scripts, Power Automate flow definitions, app code)</w:t>
      </w:r>
    </w:p>
    <w:p>
      <w:pPr>
        <w:pStyle w:val="ListParagraph"/>
        <w:numPr>
          <w:ilvl w:val="0"/>
          <w:numId w:val="2"/>
        </w:numPr>
        <w:spacing w:after="80"/>
      </w:pPr>
      <w:r>
        <w:rPr>
          <w:rFonts w:ascii="Arial" w:cs="Arial" w:eastAsia="Arial" w:hAnsi="Arial"/>
          <w:sz w:val="22"/>
          <w:szCs w:val="22"/>
        </w:rPr>
        <w:t xml:space="preserve">Peak 10’s IT person deploys scripts and configures Microsoft Graph API credentials</w:t>
      </w:r>
    </w:p>
    <w:p>
      <w:pPr>
        <w:pStyle w:val="ListParagraph"/>
        <w:numPr>
          <w:ilvl w:val="0"/>
          <w:numId w:val="2"/>
        </w:numPr>
        <w:spacing w:after="80"/>
      </w:pPr>
      <w:r>
        <w:rPr>
          <w:rFonts w:ascii="Arial" w:cs="Arial" w:eastAsia="Arial" w:hAnsi="Arial"/>
          <w:sz w:val="22"/>
          <w:szCs w:val="22"/>
        </w:rPr>
        <w:t xml:space="preserve">CEO reviews outputs at defined approval gates before each phase executes</w:t>
      </w:r>
    </w:p>
    <w:p>
      <w:pPr>
        <w:spacing w:after="200"/>
      </w:pPr>
    </w:p>
    <w:p>
      <w:r>
        <w:br w:type="page"/>
      </w:r>
    </w:p>
    <w:p>
      <w:pPr>
        <w:pStyle w:val="Heading1"/>
      </w:pPr>
      <w:r>
        <w:t xml:space="preserve">2. Phase 1 — Folder Architecture Design</w:t>
      </w:r>
    </w:p>
    <w:p>
      <w:pPr>
        <w:pStyle w:val="Heading2"/>
      </w:pPr>
      <w:r>
        <w:t xml:space="preserve">2.1 Design Philosophy</w:t>
      </w:r>
    </w:p>
    <w:p>
      <w:pPr>
        <w:spacing w:after="120"/>
      </w:pPr>
      <w:r>
        <w:rPr>
          <w:rFonts w:ascii="Arial" w:cs="Arial" w:eastAsia="Arial" w:hAnsi="Arial"/>
          <w:sz w:val="22"/>
          <w:szCs w:val="22"/>
        </w:rPr>
        <w:t xml:space="preserve">The folder structure for an upstream E&amp;P CEO must balance two competing needs: enough specificity to find things fast, and enough simplicity that filing doesn’t become a job in itself. The design principles are:</w:t>
      </w:r>
    </w:p>
    <w:p>
      <w:pPr>
        <w:spacing w:after="200"/>
      </w:pPr>
    </w:p>
    <w:p>
      <w:pPr>
        <w:pStyle w:val="ListParagraph"/>
        <w:numPr>
          <w:ilvl w:val="0"/>
          <w:numId w:val="3"/>
        </w:numPr>
        <w:spacing w:after="80"/>
      </w:pPr>
      <w:r>
        <w:rPr>
          <w:rFonts w:ascii="Arial" w:cs="Arial" w:eastAsia="Arial" w:hAnsi="Arial"/>
          <w:b/>
          <w:bCs/>
          <w:sz w:val="22"/>
          <w:szCs w:val="22"/>
        </w:rPr>
        <w:t xml:space="preserve">Function-first, not person-first. </w:t>
      </w:r>
      <w:r>
        <w:rPr>
          <w:rFonts w:ascii="Arial" w:cs="Arial" w:eastAsia="Arial" w:hAnsi="Arial"/>
          <w:sz w:val="22"/>
          <w:szCs w:val="22"/>
        </w:rPr>
        <w:t xml:space="preserve">Emails are organized by what they’re about, not who sent them. People wear multiple hats in a small E&amp;P — your attorney touches deals, compliance, and JV disputes. A person-based system breaks immediately.</w:t>
      </w:r>
    </w:p>
    <w:p>
      <w:pPr>
        <w:pStyle w:val="ListParagraph"/>
        <w:numPr>
          <w:ilvl w:val="0"/>
          <w:numId w:val="3"/>
        </w:numPr>
        <w:spacing w:after="80"/>
      </w:pPr>
      <w:r>
        <w:rPr>
          <w:rFonts w:ascii="Arial" w:cs="Arial" w:eastAsia="Arial" w:hAnsi="Arial"/>
          <w:b/>
          <w:bCs/>
          <w:sz w:val="22"/>
          <w:szCs w:val="22"/>
        </w:rPr>
        <w:t xml:space="preserve">Two levels max for daily use. </w:t>
      </w:r>
      <w:r>
        <w:rPr>
          <w:rFonts w:ascii="Arial" w:cs="Arial" w:eastAsia="Arial" w:hAnsi="Arial"/>
          <w:sz w:val="22"/>
          <w:szCs w:val="22"/>
        </w:rPr>
        <w:t xml:space="preserve">Top-level folders are broad functional buckets. One level of subfolders handles the important distinctions within each. Deeper nesting creates drag and missed filing.</w:t>
      </w:r>
    </w:p>
    <w:p>
      <w:pPr>
        <w:pStyle w:val="ListParagraph"/>
        <w:numPr>
          <w:ilvl w:val="0"/>
          <w:numId w:val="3"/>
        </w:numPr>
        <w:spacing w:after="80"/>
      </w:pPr>
      <w:r>
        <w:rPr>
          <w:rFonts w:ascii="Arial" w:cs="Arial" w:eastAsia="Arial" w:hAnsi="Arial"/>
          <w:b/>
          <w:bCs/>
          <w:sz w:val="22"/>
          <w:szCs w:val="22"/>
        </w:rPr>
        <w:t xml:space="preserve">Mirror to Archive. </w:t>
      </w:r>
      <w:r>
        <w:rPr>
          <w:rFonts w:ascii="Arial" w:cs="Arial" w:eastAsia="Arial" w:hAnsi="Arial"/>
          <w:sz w:val="22"/>
          <w:szCs w:val="22"/>
        </w:rPr>
        <w:t xml:space="preserve">The Archive folder replicates the exact same structure. When an email ages out of the working Inbox hierarchy, it moves to the same path in Archive. This preserves search context.</w:t>
      </w:r>
    </w:p>
    <w:p>
      <w:pPr>
        <w:pStyle w:val="ListParagraph"/>
        <w:numPr>
          <w:ilvl w:val="0"/>
          <w:numId w:val="3"/>
        </w:numPr>
        <w:spacing w:after="80"/>
      </w:pPr>
      <w:r>
        <w:rPr>
          <w:rFonts w:ascii="Arial" w:cs="Arial" w:eastAsia="Arial" w:hAnsi="Arial"/>
          <w:b/>
          <w:bCs/>
          <w:sz w:val="22"/>
          <w:szCs w:val="22"/>
        </w:rPr>
        <w:t xml:space="preserve">Asset/Project subfolders are dynamic. </w:t>
      </w:r>
      <w:r>
        <w:rPr>
          <w:rFonts w:ascii="Arial" w:cs="Arial" w:eastAsia="Arial" w:hAnsi="Arial"/>
          <w:sz w:val="22"/>
          <w:szCs w:val="22"/>
        </w:rPr>
        <w:t xml:space="preserve">Within Operations, Land, and Engineering, subfolders for specific assets, prospects, or projects are created as needed. These are the only subfolders that grow organically.</w:t>
      </w:r>
    </w:p>
    <w:p>
      <w:pPr>
        <w:pStyle w:val="ListParagraph"/>
        <w:numPr>
          <w:ilvl w:val="0"/>
          <w:numId w:val="3"/>
        </w:numPr>
        <w:spacing w:after="80"/>
      </w:pPr>
      <w:r>
        <w:rPr>
          <w:rFonts w:ascii="Arial" w:cs="Arial" w:eastAsia="Arial" w:hAnsi="Arial"/>
          <w:b/>
          <w:bCs/>
          <w:sz w:val="22"/>
          <w:szCs w:val="22"/>
        </w:rPr>
        <w:t xml:space="preserve">Action-state folders at the top. </w:t>
      </w:r>
      <w:r>
        <w:rPr>
          <w:rFonts w:ascii="Arial" w:cs="Arial" w:eastAsia="Arial" w:hAnsi="Arial"/>
          <w:sz w:val="22"/>
          <w:szCs w:val="22"/>
        </w:rPr>
        <w:t xml:space="preserve">Borrowing from GTD and executive EA frameworks: a small set of action-state folders sit above the functional hierarchy for emails that need your direct attention regardless of topic.</w:t>
      </w:r>
    </w:p>
    <w:p>
      <w:pPr>
        <w:spacing w:after="200"/>
      </w:pPr>
    </w:p>
    <w:p>
      <w:pPr>
        <w:pStyle w:val="Heading2"/>
      </w:pPr>
      <w:r>
        <w:t xml:space="preserve">2.2 Proposed Structure — Peak 10 Energy Account</w:t>
      </w:r>
    </w:p>
    <w:p>
      <w:pPr>
        <w:spacing w:after="120"/>
      </w:pPr>
      <w:r>
        <w:rPr>
          <w:rFonts w:ascii="Arial" w:cs="Arial" w:eastAsia="Arial" w:hAnsi="Arial"/>
          <w:b/>
          <w:bCs/>
          <w:i/>
          <w:iCs/>
          <w:sz w:val="22"/>
          <w:szCs w:val="22"/>
        </w:rPr>
        <w:t xml:space="preserve">Note: </w:t>
      </w:r>
      <w:r>
        <w:rPr>
          <w:rFonts w:ascii="Arial" w:cs="Arial" w:eastAsia="Arial" w:hAnsi="Arial"/>
          <w:i/>
          <w:iCs/>
          <w:sz w:val="22"/>
          <w:szCs w:val="22"/>
        </w:rPr>
        <w:t xml:space="preserve">This structure lives inside the Inbox. The identical structure is replicated inside an “Archive” top-level folder.</w:t>
      </w:r>
    </w:p>
    <w:p>
      <w:pPr>
        <w:spacing w:after="200"/>
      </w:pPr>
    </w:p>
    <w:p>
      <w:pPr>
        <w:pStyle w:val="Heading3"/>
      </w:pPr>
      <w:r>
        <w:t xml:space="preserve">Action-State Folders (Top of Navigation)</w:t>
      </w:r>
    </w:p>
    <w:p>
      <w:pPr>
        <w:spacing w:after="120"/>
      </w:pPr>
      <w:r>
        <w:rPr>
          <w:rFonts w:ascii="Arial" w:cs="Arial" w:eastAsia="Arial" w:hAnsi="Arial"/>
          <w:sz w:val="22"/>
          <w:szCs w:val="22"/>
        </w:rPr>
        <w:t xml:space="preserve">These are working folders for email triage. They represent the current state of an email in your workflow, not its topic. Emails live here temporarily before being filed into the functional structure or archived.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36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ACTION REQUIRED</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requiring your direct response or decision. This is your daily working queue.</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move here from Inbox during triage. Once handled, they get filed to the relevant functional folder or Archive.</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WAITING ON REPLY</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Emails you’ve sent or delegated where you’re waiting for a response back.</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Populated manually or by the reminder app. Cleared when a reply arrives.</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REVIEW / READ</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you need to read but don’t require a response — reports, newsletters, industry updates, internal FYIs.</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Low-urgency reading. Process during scheduled review blocks.</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MEETING PREP</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Emails with attachments, context, or discussion relevant to upcoming meetings.</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Cleared after the meeting occurs. Contents filed or archived.</w:t>
            </w:r>
          </w:p>
        </w:tc>
      </w:tr>
    </w:tbl>
    <w:p>
      <w:pPr>
        <w:spacing w:after="200"/>
      </w:pPr>
    </w:p>
    <w:p>
      <w:pPr>
        <w:pStyle w:val="Heading3"/>
      </w:pPr>
      <w:r>
        <w:t xml:space="preserve">Functional Folders</w:t>
      </w:r>
    </w:p>
    <w:p>
      <w:pPr>
        <w:spacing w:after="120"/>
      </w:pPr>
      <w:r>
        <w:rPr>
          <w:rFonts w:ascii="Arial" w:cs="Arial" w:eastAsia="Arial" w:hAnsi="Arial"/>
          <w:sz w:val="22"/>
          <w:szCs w:val="22"/>
        </w:rPr>
        <w:t xml:space="preserve">These are the permanent homes for filed emails. Organized by the operational function of Peak 10 that the email relates to.</w:t>
      </w:r>
    </w:p>
    <w:p>
      <w:pPr>
        <w:spacing w:after="200"/>
      </w:pPr>
    </w:p>
    <w:p>
      <w:pPr>
        <w:spacing w:after="120"/>
      </w:pPr>
      <w:r>
        <w:rPr>
          <w:rFonts w:ascii="Arial" w:cs="Arial" w:eastAsia="Arial" w:hAnsi="Arial"/>
          <w:b/>
          <w:bCs/>
          <w:sz w:val="24"/>
          <w:szCs w:val="24"/>
        </w:rPr>
        <w:t xml:space="preserve">1. Operations</w:t>
      </w:r>
    </w:p>
    <w:p>
      <w:pPr>
        <w:spacing w:after="120"/>
      </w:pPr>
      <w:r>
        <w:rPr>
          <w:rFonts w:ascii="Arial" w:cs="Arial" w:eastAsia="Arial" w:hAnsi="Arial"/>
          <w:sz w:val="22"/>
          <w:szCs w:val="22"/>
        </w:rPr>
        <w:t xml:space="preserve">Field operations, production, HSE, daily reports, operational issues, well status, equipment, facilities.</w:t>
      </w:r>
    </w:p>
    <w:p>
      <w:pPr>
        <w:pStyle w:val="ListParagraph"/>
        <w:numPr>
          <w:ilvl w:val="0"/>
          <w:numId w:val="2"/>
        </w:numPr>
        <w:spacing w:after="80"/>
      </w:pPr>
      <w:r>
        <w:rPr>
          <w:rFonts w:ascii="Arial" w:cs="Arial" w:eastAsia="Arial" w:hAnsi="Arial"/>
          <w:sz w:val="22"/>
          <w:szCs w:val="22"/>
        </w:rPr>
        <w:t xml:space="preserve">Subfolders by asset/field name (e.g., “Operations &gt; [Asset Name]”)</w:t>
      </w:r>
    </w:p>
    <w:p>
      <w:pPr>
        <w:pStyle w:val="ListParagraph"/>
        <w:numPr>
          <w:ilvl w:val="0"/>
          <w:numId w:val="2"/>
        </w:numPr>
        <w:spacing w:after="80"/>
      </w:pPr>
      <w:r>
        <w:rPr>
          <w:rFonts w:ascii="Arial" w:cs="Arial" w:eastAsia="Arial" w:hAnsi="Arial"/>
          <w:sz w:val="22"/>
          <w:szCs w:val="22"/>
        </w:rPr>
        <w:t xml:space="preserve">Subfolder: HSE (health, safety, environmental incidents and compliance)</w:t>
      </w:r>
    </w:p>
    <w:p>
      <w:pPr>
        <w:pStyle w:val="ListParagraph"/>
        <w:numPr>
          <w:ilvl w:val="0"/>
          <w:numId w:val="2"/>
        </w:numPr>
        <w:spacing w:after="80"/>
      </w:pPr>
      <w:r>
        <w:rPr>
          <w:rFonts w:ascii="Arial" w:cs="Arial" w:eastAsia="Arial" w:hAnsi="Arial"/>
          <w:sz w:val="22"/>
          <w:szCs w:val="22"/>
        </w:rPr>
        <w:t xml:space="preserve">Subfolder: Production Reports</w:t>
      </w:r>
    </w:p>
    <w:p>
      <w:pPr>
        <w:spacing w:after="200"/>
      </w:pPr>
    </w:p>
    <w:p>
      <w:pPr>
        <w:spacing w:after="120"/>
      </w:pPr>
      <w:r>
        <w:rPr>
          <w:rFonts w:ascii="Arial" w:cs="Arial" w:eastAsia="Arial" w:hAnsi="Arial"/>
          <w:b/>
          <w:bCs/>
          <w:sz w:val="24"/>
          <w:szCs w:val="24"/>
        </w:rPr>
        <w:t xml:space="preserve">2. Land &amp; Title</w:t>
      </w:r>
    </w:p>
    <w:p>
      <w:pPr>
        <w:spacing w:after="120"/>
      </w:pPr>
      <w:r>
        <w:rPr>
          <w:rFonts w:ascii="Arial" w:cs="Arial" w:eastAsia="Arial" w:hAnsi="Arial"/>
          <w:sz w:val="22"/>
          <w:szCs w:val="22"/>
        </w:rPr>
        <w:t xml:space="preserve">Leasing, mineral acquisitions, title opinions, landman correspondence, surface use, ROW, pooling, division orders.</w:t>
      </w:r>
    </w:p>
    <w:p>
      <w:pPr>
        <w:pStyle w:val="ListParagraph"/>
        <w:numPr>
          <w:ilvl w:val="0"/>
          <w:numId w:val="2"/>
        </w:numPr>
        <w:spacing w:after="80"/>
      </w:pPr>
      <w:r>
        <w:rPr>
          <w:rFonts w:ascii="Arial" w:cs="Arial" w:eastAsia="Arial" w:hAnsi="Arial"/>
          <w:sz w:val="22"/>
          <w:szCs w:val="22"/>
        </w:rPr>
        <w:t xml:space="preserve">Subfolders by prospect or area as deals develop</w:t>
      </w:r>
    </w:p>
    <w:p>
      <w:pPr>
        <w:pStyle w:val="ListParagraph"/>
        <w:numPr>
          <w:ilvl w:val="0"/>
          <w:numId w:val="2"/>
        </w:numPr>
        <w:spacing w:after="80"/>
      </w:pPr>
      <w:r>
        <w:rPr>
          <w:rFonts w:ascii="Arial" w:cs="Arial" w:eastAsia="Arial" w:hAnsi="Arial"/>
          <w:sz w:val="22"/>
          <w:szCs w:val="22"/>
        </w:rPr>
        <w:t xml:space="preserve">Subfolder: Title Opinions</w:t>
      </w:r>
    </w:p>
    <w:p>
      <w:pPr>
        <w:pStyle w:val="ListParagraph"/>
        <w:numPr>
          <w:ilvl w:val="0"/>
          <w:numId w:val="2"/>
        </w:numPr>
        <w:spacing w:after="80"/>
      </w:pPr>
      <w:r>
        <w:rPr>
          <w:rFonts w:ascii="Arial" w:cs="Arial" w:eastAsia="Arial" w:hAnsi="Arial"/>
          <w:sz w:val="22"/>
          <w:szCs w:val="22"/>
        </w:rPr>
        <w:t xml:space="preserve">Subfolder: Division Orders</w:t>
      </w:r>
    </w:p>
    <w:p>
      <w:pPr>
        <w:spacing w:after="200"/>
      </w:pPr>
    </w:p>
    <w:p>
      <w:pPr>
        <w:spacing w:after="120"/>
      </w:pPr>
      <w:r>
        <w:rPr>
          <w:rFonts w:ascii="Arial" w:cs="Arial" w:eastAsia="Arial" w:hAnsi="Arial"/>
          <w:b/>
          <w:bCs/>
          <w:sz w:val="24"/>
          <w:szCs w:val="24"/>
        </w:rPr>
        <w:t xml:space="preserve">3. Engineering &amp; Geology</w:t>
      </w:r>
    </w:p>
    <w:p>
      <w:pPr>
        <w:spacing w:after="120"/>
      </w:pPr>
      <w:r>
        <w:rPr>
          <w:rFonts w:ascii="Arial" w:cs="Arial" w:eastAsia="Arial" w:hAnsi="Arial"/>
          <w:sz w:val="22"/>
          <w:szCs w:val="22"/>
        </w:rPr>
        <w:t xml:space="preserve">Drilling, completions, reservoir, geological interpretations, well planning, AFEs, technical evaluations.</w:t>
      </w:r>
    </w:p>
    <w:p>
      <w:pPr>
        <w:pStyle w:val="ListParagraph"/>
        <w:numPr>
          <w:ilvl w:val="0"/>
          <w:numId w:val="2"/>
        </w:numPr>
        <w:spacing w:after="80"/>
      </w:pPr>
      <w:r>
        <w:rPr>
          <w:rFonts w:ascii="Arial" w:cs="Arial" w:eastAsia="Arial" w:hAnsi="Arial"/>
          <w:sz w:val="22"/>
          <w:szCs w:val="22"/>
        </w:rPr>
        <w:t xml:space="preserve">Subfolders by well name or project</w:t>
      </w:r>
    </w:p>
    <w:p>
      <w:pPr>
        <w:pStyle w:val="ListParagraph"/>
        <w:numPr>
          <w:ilvl w:val="0"/>
          <w:numId w:val="2"/>
        </w:numPr>
        <w:spacing w:after="80"/>
      </w:pPr>
      <w:r>
        <w:rPr>
          <w:rFonts w:ascii="Arial" w:cs="Arial" w:eastAsia="Arial" w:hAnsi="Arial"/>
          <w:sz w:val="22"/>
          <w:szCs w:val="22"/>
        </w:rPr>
        <w:t xml:space="preserve">Subfolder: AFEs</w:t>
      </w:r>
    </w:p>
    <w:p>
      <w:pPr>
        <w:pStyle w:val="ListParagraph"/>
        <w:numPr>
          <w:ilvl w:val="0"/>
          <w:numId w:val="2"/>
        </w:numPr>
        <w:spacing w:after="80"/>
      </w:pPr>
      <w:r>
        <w:rPr>
          <w:rFonts w:ascii="Arial" w:cs="Arial" w:eastAsia="Arial" w:hAnsi="Arial"/>
          <w:sz w:val="22"/>
          <w:szCs w:val="22"/>
        </w:rPr>
        <w:t xml:space="preserve">Subfolder: Well Plans</w:t>
      </w:r>
    </w:p>
    <w:p>
      <w:pPr>
        <w:spacing w:after="200"/>
      </w:pPr>
    </w:p>
    <w:p>
      <w:pPr>
        <w:spacing w:after="120"/>
      </w:pPr>
      <w:r>
        <w:rPr>
          <w:rFonts w:ascii="Arial" w:cs="Arial" w:eastAsia="Arial" w:hAnsi="Arial"/>
          <w:b/>
          <w:bCs/>
          <w:sz w:val="24"/>
          <w:szCs w:val="24"/>
        </w:rPr>
        <w:t xml:space="preserve">4. Business Development &amp; Deals</w:t>
      </w:r>
    </w:p>
    <w:p>
      <w:pPr>
        <w:spacing w:after="120"/>
      </w:pPr>
      <w:r>
        <w:rPr>
          <w:rFonts w:ascii="Arial" w:cs="Arial" w:eastAsia="Arial" w:hAnsi="Arial"/>
          <w:sz w:val="22"/>
          <w:szCs w:val="22"/>
        </w:rPr>
        <w:t xml:space="preserve">Acquisitions, divestitures, farm-ins/outs, prospect generation, deal screening, LOIs, PSAs. This is where growth lives.</w:t>
      </w:r>
    </w:p>
    <w:p>
      <w:pPr>
        <w:pStyle w:val="ListParagraph"/>
        <w:numPr>
          <w:ilvl w:val="0"/>
          <w:numId w:val="2"/>
        </w:numPr>
        <w:spacing w:after="80"/>
      </w:pPr>
      <w:r>
        <w:rPr>
          <w:rFonts w:ascii="Arial" w:cs="Arial" w:eastAsia="Arial" w:hAnsi="Arial"/>
          <w:sz w:val="22"/>
          <w:szCs w:val="22"/>
        </w:rPr>
        <w:t xml:space="preserve">Subfolders by deal name/prospect as they emerge</w:t>
      </w:r>
    </w:p>
    <w:p>
      <w:pPr>
        <w:pStyle w:val="ListParagraph"/>
        <w:numPr>
          <w:ilvl w:val="0"/>
          <w:numId w:val="2"/>
        </w:numPr>
        <w:spacing w:after="80"/>
      </w:pPr>
      <w:r>
        <w:rPr>
          <w:rFonts w:ascii="Arial" w:cs="Arial" w:eastAsia="Arial" w:hAnsi="Arial"/>
          <w:sz w:val="22"/>
          <w:szCs w:val="22"/>
        </w:rPr>
        <w:t xml:space="preserve">Subfolder: Active Deals</w:t>
      </w:r>
    </w:p>
    <w:p>
      <w:pPr>
        <w:pStyle w:val="ListParagraph"/>
        <w:numPr>
          <w:ilvl w:val="0"/>
          <w:numId w:val="2"/>
        </w:numPr>
        <w:spacing w:after="80"/>
      </w:pPr>
      <w:r>
        <w:rPr>
          <w:rFonts w:ascii="Arial" w:cs="Arial" w:eastAsia="Arial" w:hAnsi="Arial"/>
          <w:sz w:val="22"/>
          <w:szCs w:val="22"/>
        </w:rPr>
        <w:t xml:space="preserve">Subfolder: Dead Deals (reference, not deletion)</w:t>
      </w:r>
    </w:p>
    <w:p>
      <w:pPr>
        <w:spacing w:after="200"/>
      </w:pPr>
    </w:p>
    <w:p>
      <w:pPr>
        <w:spacing w:after="120"/>
      </w:pPr>
      <w:r>
        <w:rPr>
          <w:rFonts w:ascii="Arial" w:cs="Arial" w:eastAsia="Arial" w:hAnsi="Arial"/>
          <w:b/>
          <w:bCs/>
          <w:sz w:val="24"/>
          <w:szCs w:val="24"/>
        </w:rPr>
        <w:t xml:space="preserve">5. Investors &amp; Capital</w:t>
      </w:r>
    </w:p>
    <w:p>
      <w:pPr>
        <w:spacing w:after="120"/>
      </w:pPr>
      <w:r>
        <w:rPr>
          <w:rFonts w:ascii="Arial" w:cs="Arial" w:eastAsia="Arial" w:hAnsi="Arial"/>
          <w:sz w:val="22"/>
          <w:szCs w:val="22"/>
        </w:rPr>
        <w:t xml:space="preserve">Equity partners, lenders, fundraising, investor updates, capital calls, distributions, board/advisory communications.</w:t>
      </w:r>
    </w:p>
    <w:p>
      <w:pPr>
        <w:pStyle w:val="ListParagraph"/>
        <w:numPr>
          <w:ilvl w:val="0"/>
          <w:numId w:val="2"/>
        </w:numPr>
        <w:spacing w:after="80"/>
      </w:pPr>
      <w:r>
        <w:rPr>
          <w:rFonts w:ascii="Arial" w:cs="Arial" w:eastAsia="Arial" w:hAnsi="Arial"/>
          <w:sz w:val="22"/>
          <w:szCs w:val="22"/>
        </w:rPr>
        <w:t xml:space="preserve">Subfolder: Investor Relations</w:t>
      </w:r>
    </w:p>
    <w:p>
      <w:pPr>
        <w:pStyle w:val="ListParagraph"/>
        <w:numPr>
          <w:ilvl w:val="0"/>
          <w:numId w:val="2"/>
        </w:numPr>
        <w:spacing w:after="80"/>
      </w:pPr>
      <w:r>
        <w:rPr>
          <w:rFonts w:ascii="Arial" w:cs="Arial" w:eastAsia="Arial" w:hAnsi="Arial"/>
          <w:sz w:val="22"/>
          <w:szCs w:val="22"/>
        </w:rPr>
        <w:t xml:space="preserve">Subfolder: Banking &amp; Lending</w:t>
      </w:r>
    </w:p>
    <w:p>
      <w:pPr>
        <w:pStyle w:val="ListParagraph"/>
        <w:numPr>
          <w:ilvl w:val="0"/>
          <w:numId w:val="2"/>
        </w:numPr>
        <w:spacing w:after="80"/>
      </w:pPr>
      <w:r>
        <w:rPr>
          <w:rFonts w:ascii="Arial" w:cs="Arial" w:eastAsia="Arial" w:hAnsi="Arial"/>
          <w:sz w:val="22"/>
          <w:szCs w:val="22"/>
        </w:rPr>
        <w:t xml:space="preserve">Subfolder: Board / Advisory</w:t>
      </w:r>
    </w:p>
    <w:p>
      <w:pPr>
        <w:spacing w:after="200"/>
      </w:pPr>
    </w:p>
    <w:p>
      <w:pPr>
        <w:spacing w:after="120"/>
      </w:pPr>
      <w:r>
        <w:rPr>
          <w:rFonts w:ascii="Arial" w:cs="Arial" w:eastAsia="Arial" w:hAnsi="Arial"/>
          <w:b/>
          <w:bCs/>
          <w:sz w:val="24"/>
          <w:szCs w:val="24"/>
        </w:rPr>
        <w:t xml:space="preserve">6. JV &amp; Partners</w:t>
      </w:r>
    </w:p>
    <w:p>
      <w:pPr>
        <w:spacing w:after="120"/>
      </w:pPr>
      <w:r>
        <w:rPr>
          <w:rFonts w:ascii="Arial" w:cs="Arial" w:eastAsia="Arial" w:hAnsi="Arial"/>
          <w:sz w:val="22"/>
          <w:szCs w:val="22"/>
        </w:rPr>
        <w:t xml:space="preserve">Joint venture correspondence, working interest owner communications, JOAs, elections, billings, AFE responses, partner disputes.</w:t>
      </w:r>
    </w:p>
    <w:p>
      <w:pPr>
        <w:pStyle w:val="ListParagraph"/>
        <w:numPr>
          <w:ilvl w:val="0"/>
          <w:numId w:val="2"/>
        </w:numPr>
        <w:spacing w:after="80"/>
      </w:pPr>
      <w:r>
        <w:rPr>
          <w:rFonts w:ascii="Arial" w:cs="Arial" w:eastAsia="Arial" w:hAnsi="Arial"/>
          <w:sz w:val="22"/>
          <w:szCs w:val="22"/>
        </w:rPr>
        <w:t xml:space="preserve">Subfolders by JV partner or agreement name</w:t>
      </w:r>
    </w:p>
    <w:p>
      <w:pPr>
        <w:spacing w:after="200"/>
      </w:pPr>
    </w:p>
    <w:p>
      <w:pPr>
        <w:spacing w:after="120"/>
      </w:pPr>
      <w:r>
        <w:rPr>
          <w:rFonts w:ascii="Arial" w:cs="Arial" w:eastAsia="Arial" w:hAnsi="Arial"/>
          <w:b/>
          <w:bCs/>
          <w:sz w:val="24"/>
          <w:szCs w:val="24"/>
        </w:rPr>
        <w:t xml:space="preserve">7. Legal</w:t>
      </w:r>
    </w:p>
    <w:p>
      <w:pPr>
        <w:spacing w:after="120"/>
      </w:pPr>
      <w:r>
        <w:rPr>
          <w:rFonts w:ascii="Arial" w:cs="Arial" w:eastAsia="Arial" w:hAnsi="Arial"/>
          <w:sz w:val="22"/>
          <w:szCs w:val="22"/>
        </w:rPr>
        <w:t xml:space="preserve">Outside counsel, contracts (non-deal), litigation, regulatory enforcement, corporate governance.</w:t>
      </w:r>
    </w:p>
    <w:p>
      <w:pPr>
        <w:pStyle w:val="ListParagraph"/>
        <w:numPr>
          <w:ilvl w:val="0"/>
          <w:numId w:val="2"/>
        </w:numPr>
        <w:spacing w:after="80"/>
      </w:pPr>
      <w:r>
        <w:rPr>
          <w:rFonts w:ascii="Arial" w:cs="Arial" w:eastAsia="Arial" w:hAnsi="Arial"/>
          <w:sz w:val="22"/>
          <w:szCs w:val="22"/>
        </w:rPr>
        <w:t xml:space="preserve">Subfolder: Contracts</w:t>
      </w:r>
    </w:p>
    <w:p>
      <w:pPr>
        <w:pStyle w:val="ListParagraph"/>
        <w:numPr>
          <w:ilvl w:val="0"/>
          <w:numId w:val="2"/>
        </w:numPr>
        <w:spacing w:after="80"/>
      </w:pPr>
      <w:r>
        <w:rPr>
          <w:rFonts w:ascii="Arial" w:cs="Arial" w:eastAsia="Arial" w:hAnsi="Arial"/>
          <w:sz w:val="22"/>
          <w:szCs w:val="22"/>
        </w:rPr>
        <w:t xml:space="preserve">Subfolder: Litigation / Disputes</w:t>
      </w:r>
    </w:p>
    <w:p>
      <w:pPr>
        <w:pStyle w:val="ListParagraph"/>
        <w:numPr>
          <w:ilvl w:val="0"/>
          <w:numId w:val="2"/>
        </w:numPr>
        <w:spacing w:after="80"/>
      </w:pPr>
      <w:r>
        <w:rPr>
          <w:rFonts w:ascii="Arial" w:cs="Arial" w:eastAsia="Arial" w:hAnsi="Arial"/>
          <w:sz w:val="22"/>
          <w:szCs w:val="22"/>
        </w:rPr>
        <w:t xml:space="preserve">Subfolder: Corporate / Governance</w:t>
      </w:r>
    </w:p>
    <w:p>
      <w:pPr>
        <w:spacing w:after="200"/>
      </w:pPr>
    </w:p>
    <w:p>
      <w:pPr>
        <w:spacing w:after="120"/>
      </w:pPr>
      <w:r>
        <w:rPr>
          <w:rFonts w:ascii="Arial" w:cs="Arial" w:eastAsia="Arial" w:hAnsi="Arial"/>
          <w:b/>
          <w:bCs/>
          <w:sz w:val="24"/>
          <w:szCs w:val="24"/>
        </w:rPr>
        <w:t xml:space="preserve">8. Regulatory &amp; Compliance</w:t>
      </w:r>
    </w:p>
    <w:p>
      <w:pPr>
        <w:spacing w:after="120"/>
      </w:pPr>
      <w:r>
        <w:rPr>
          <w:rFonts w:ascii="Arial" w:cs="Arial" w:eastAsia="Arial" w:hAnsi="Arial"/>
          <w:sz w:val="22"/>
          <w:szCs w:val="22"/>
        </w:rPr>
        <w:t xml:space="preserve">RRC filings, state agency correspondence, permits, environmental compliance, bonding, plugging obligations.</w:t>
      </w:r>
    </w:p>
    <w:p>
      <w:pPr>
        <w:pStyle w:val="ListParagraph"/>
        <w:numPr>
          <w:ilvl w:val="0"/>
          <w:numId w:val="2"/>
        </w:numPr>
        <w:spacing w:after="80"/>
      </w:pPr>
      <w:r>
        <w:rPr>
          <w:rFonts w:ascii="Arial" w:cs="Arial" w:eastAsia="Arial" w:hAnsi="Arial"/>
          <w:sz w:val="22"/>
          <w:szCs w:val="22"/>
        </w:rPr>
        <w:t xml:space="preserve">Subfolders by agency or state as needed</w:t>
      </w:r>
    </w:p>
    <w:p>
      <w:pPr>
        <w:spacing w:after="200"/>
      </w:pPr>
    </w:p>
    <w:p>
      <w:pPr>
        <w:spacing w:after="120"/>
      </w:pPr>
      <w:r>
        <w:rPr>
          <w:rFonts w:ascii="Arial" w:cs="Arial" w:eastAsia="Arial" w:hAnsi="Arial"/>
          <w:b/>
          <w:bCs/>
          <w:sz w:val="24"/>
          <w:szCs w:val="24"/>
        </w:rPr>
        <w:t xml:space="preserve">9. Finance &amp; Accounting</w:t>
      </w:r>
    </w:p>
    <w:p>
      <w:pPr>
        <w:spacing w:after="120"/>
      </w:pPr>
      <w:r>
        <w:rPr>
          <w:rFonts w:ascii="Arial" w:cs="Arial" w:eastAsia="Arial" w:hAnsi="Arial"/>
          <w:sz w:val="22"/>
          <w:szCs w:val="22"/>
        </w:rPr>
        <w:t xml:space="preserve">AP/AR, auditors, tax, revenue, JIBs, insurance, banking operations (distinct from capital/lending).</w:t>
      </w:r>
    </w:p>
    <w:p>
      <w:pPr>
        <w:pStyle w:val="ListParagraph"/>
        <w:numPr>
          <w:ilvl w:val="0"/>
          <w:numId w:val="2"/>
        </w:numPr>
        <w:spacing w:after="80"/>
      </w:pPr>
      <w:r>
        <w:rPr>
          <w:rFonts w:ascii="Arial" w:cs="Arial" w:eastAsia="Arial" w:hAnsi="Arial"/>
          <w:sz w:val="22"/>
          <w:szCs w:val="22"/>
        </w:rPr>
        <w:t xml:space="preserve">Subfolder: Tax</w:t>
      </w:r>
    </w:p>
    <w:p>
      <w:pPr>
        <w:pStyle w:val="ListParagraph"/>
        <w:numPr>
          <w:ilvl w:val="0"/>
          <w:numId w:val="2"/>
        </w:numPr>
        <w:spacing w:after="80"/>
      </w:pPr>
      <w:r>
        <w:rPr>
          <w:rFonts w:ascii="Arial" w:cs="Arial" w:eastAsia="Arial" w:hAnsi="Arial"/>
          <w:sz w:val="22"/>
          <w:szCs w:val="22"/>
        </w:rPr>
        <w:t xml:space="preserve">Subfolder: Insurance</w:t>
      </w:r>
    </w:p>
    <w:p>
      <w:pPr>
        <w:pStyle w:val="ListParagraph"/>
        <w:numPr>
          <w:ilvl w:val="0"/>
          <w:numId w:val="2"/>
        </w:numPr>
        <w:spacing w:after="80"/>
      </w:pPr>
      <w:r>
        <w:rPr>
          <w:rFonts w:ascii="Arial" w:cs="Arial" w:eastAsia="Arial" w:hAnsi="Arial"/>
          <w:sz w:val="22"/>
          <w:szCs w:val="22"/>
        </w:rPr>
        <w:t xml:space="preserve">Subfolder: Audit</w:t>
      </w:r>
    </w:p>
    <w:p>
      <w:pPr>
        <w:spacing w:after="200"/>
      </w:pPr>
    </w:p>
    <w:p>
      <w:pPr>
        <w:spacing w:after="120"/>
      </w:pPr>
      <w:r>
        <w:rPr>
          <w:rFonts w:ascii="Arial" w:cs="Arial" w:eastAsia="Arial" w:hAnsi="Arial"/>
          <w:b/>
          <w:bCs/>
          <w:sz w:val="24"/>
          <w:szCs w:val="24"/>
        </w:rPr>
        <w:t xml:space="preserve">10. People &amp; Admin</w:t>
      </w:r>
    </w:p>
    <w:p>
      <w:pPr>
        <w:spacing w:after="120"/>
      </w:pPr>
      <w:r>
        <w:rPr>
          <w:rFonts w:ascii="Arial" w:cs="Arial" w:eastAsia="Arial" w:hAnsi="Arial"/>
          <w:sz w:val="22"/>
          <w:szCs w:val="22"/>
        </w:rPr>
        <w:t xml:space="preserve">HR, recruiting, benefits, office administration, IT, vendors/service providers not tied to a specific well or project.</w:t>
      </w:r>
    </w:p>
    <w:p>
      <w:pPr>
        <w:pStyle w:val="ListParagraph"/>
        <w:numPr>
          <w:ilvl w:val="0"/>
          <w:numId w:val="2"/>
        </w:numPr>
        <w:spacing w:after="80"/>
      </w:pPr>
      <w:r>
        <w:rPr>
          <w:rFonts w:ascii="Arial" w:cs="Arial" w:eastAsia="Arial" w:hAnsi="Arial"/>
          <w:sz w:val="22"/>
          <w:szCs w:val="22"/>
        </w:rPr>
        <w:t xml:space="preserve">Subfolder: HR / Team</w:t>
      </w:r>
    </w:p>
    <w:p>
      <w:pPr>
        <w:pStyle w:val="ListParagraph"/>
        <w:numPr>
          <w:ilvl w:val="0"/>
          <w:numId w:val="2"/>
        </w:numPr>
        <w:spacing w:after="80"/>
      </w:pPr>
      <w:r>
        <w:rPr>
          <w:rFonts w:ascii="Arial" w:cs="Arial" w:eastAsia="Arial" w:hAnsi="Arial"/>
          <w:sz w:val="22"/>
          <w:szCs w:val="22"/>
        </w:rPr>
        <w:t xml:space="preserve">Subfolder: IT / Systems</w:t>
      </w:r>
    </w:p>
    <w:p>
      <w:pPr>
        <w:pStyle w:val="ListParagraph"/>
        <w:numPr>
          <w:ilvl w:val="0"/>
          <w:numId w:val="2"/>
        </w:numPr>
        <w:spacing w:after="80"/>
      </w:pPr>
      <w:r>
        <w:rPr>
          <w:rFonts w:ascii="Arial" w:cs="Arial" w:eastAsia="Arial" w:hAnsi="Arial"/>
          <w:sz w:val="22"/>
          <w:szCs w:val="22"/>
        </w:rPr>
        <w:t xml:space="preserve">Subfolder: Vendors &amp; Services</w:t>
      </w:r>
    </w:p>
    <w:p>
      <w:pPr>
        <w:spacing w:after="200"/>
      </w:pPr>
    </w:p>
    <w:p>
      <w:pPr>
        <w:spacing w:after="120"/>
      </w:pPr>
      <w:r>
        <w:rPr>
          <w:rFonts w:ascii="Arial" w:cs="Arial" w:eastAsia="Arial" w:hAnsi="Arial"/>
          <w:b/>
          <w:bCs/>
          <w:sz w:val="24"/>
          <w:szCs w:val="24"/>
        </w:rPr>
        <w:t xml:space="preserve">11. Industry &amp; External</w:t>
      </w:r>
    </w:p>
    <w:p>
      <w:pPr>
        <w:spacing w:after="120"/>
      </w:pPr>
      <w:r>
        <w:rPr>
          <w:rFonts w:ascii="Arial" w:cs="Arial" w:eastAsia="Arial" w:hAnsi="Arial"/>
          <w:sz w:val="22"/>
          <w:szCs w:val="22"/>
        </w:rPr>
        <w:t xml:space="preserve">Industry associations (TIPRO, IPAA, etc.), conferences, networking, market intelligence, newsletters, thought leadership.</w:t>
      </w:r>
    </w:p>
    <w:p>
      <w:pPr>
        <w:spacing w:after="200"/>
      </w:pPr>
    </w:p>
    <w:p>
      <w:r>
        <w:br w:type="page"/>
      </w:r>
    </w:p>
    <w:p>
      <w:pPr>
        <w:pStyle w:val="Heading2"/>
      </w:pPr>
      <w:r>
        <w:t xml:space="preserve">2.3 Proposed Structure — Personal Accounts</w:t>
      </w:r>
    </w:p>
    <w:p>
      <w:pPr>
        <w:spacing w:after="120"/>
      </w:pPr>
      <w:r>
        <w:rPr>
          <w:rFonts w:ascii="Arial" w:cs="Arial" w:eastAsia="Arial" w:hAnsi="Arial"/>
          <w:sz w:val="22"/>
          <w:szCs w:val="22"/>
        </w:rPr>
        <w:t xml:space="preserve">Both personal accounts get a simpler, lighter structure. Since the utexas.edu account will eventually migrate to kdmcquire@gmail.com, both will share the same folder design. Existing folders will be remapped.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3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Financial / Banking</w:t>
            </w:r>
          </w:p>
        </w:tc>
        <w:tc>
          <w:tcPr>
            <w:tcW w:type="dxa" w:w="63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Personal banking, investments, tax documents, insurance</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Property / Real Estate</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Home, property management, HOA, utilities</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Education / Alumni</w:t>
            </w:r>
          </w:p>
        </w:tc>
        <w:tc>
          <w:tcPr>
            <w:tcW w:type="dxa" w:w="63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UT Austin, continuing education, memberships</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Health &amp; Wellness</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Medical, dental, fitness, health insurance</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Travel</w:t>
            </w:r>
          </w:p>
        </w:tc>
        <w:tc>
          <w:tcPr>
            <w:tcW w:type="dxa" w:w="63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Bookings, loyalty programs, itineraries</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Subscriptions &amp; Services</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Recurring services, software, media, retail accounts</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Family &amp; Personal</w:t>
            </w:r>
          </w:p>
        </w:tc>
        <w:tc>
          <w:tcPr>
            <w:tcW w:type="dxa" w:w="63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Family coordination, personal legal, estate planning</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Professional / Networking</w:t>
            </w:r>
          </w:p>
        </w:tc>
        <w:tc>
          <w:tcPr>
            <w:tcW w:type="dxa" w:w="63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Non-Peak 10 professional contacts, boards, advisory roles</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Archive</w:t>
            </w:r>
          </w:p>
        </w:tc>
        <w:tc>
          <w:tcPr>
            <w:tcW w:type="dxa" w:w="63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Mirror of above structure for aged-out emails</w:t>
            </w:r>
          </w:p>
        </w:tc>
      </w:tr>
    </w:tbl>
    <w:p>
      <w:pPr>
        <w:spacing w:after="200"/>
      </w:pPr>
    </w:p>
    <w:p>
      <w:pPr>
        <w:pStyle w:val="Heading2"/>
      </w:pPr>
      <w:r>
        <w:t xml:space="preserve">2.4 Rationale: Why This Structure</w:t>
      </w:r>
    </w:p>
    <w:p>
      <w:pPr>
        <w:spacing w:after="120"/>
      </w:pPr>
      <w:r>
        <w:rPr>
          <w:rFonts w:ascii="Arial" w:cs="Arial" w:eastAsia="Arial" w:hAnsi="Arial"/>
          <w:b/>
          <w:bCs/>
          <w:sz w:val="22"/>
          <w:szCs w:val="22"/>
        </w:rPr>
        <w:t xml:space="preserve">Why action-state folders at the top: </w:t>
      </w:r>
      <w:r>
        <w:rPr>
          <w:rFonts w:ascii="Arial" w:cs="Arial" w:eastAsia="Arial" w:hAnsi="Arial"/>
          <w:sz w:val="22"/>
          <w:szCs w:val="22"/>
        </w:rPr>
        <w:t xml:space="preserve">As CEO of a small E&amp;P, you are the decision bottleneck on nearly everything. The action-state layer ensures that your daily triage question is not “what is this email about?” but “what do I need to do with it?” This reduces the cognitive load that’s currently draining your focus. The functional folders are for permanent filing after action is complete.</w:t>
      </w:r>
    </w:p>
    <w:p>
      <w:pPr>
        <w:spacing w:after="200"/>
      </w:pPr>
    </w:p>
    <w:p>
      <w:pPr>
        <w:spacing w:after="120"/>
      </w:pPr>
      <w:r>
        <w:rPr>
          <w:rFonts w:ascii="Arial" w:cs="Arial" w:eastAsia="Arial" w:hAnsi="Arial"/>
          <w:b/>
          <w:bCs/>
          <w:sz w:val="22"/>
          <w:szCs w:val="22"/>
        </w:rPr>
        <w:t xml:space="preserve">Why function-based rather than person-based: </w:t>
      </w:r>
      <w:r>
        <w:rPr>
          <w:rFonts w:ascii="Arial" w:cs="Arial" w:eastAsia="Arial" w:hAnsi="Arial"/>
          <w:sz w:val="22"/>
          <w:szCs w:val="22"/>
        </w:rPr>
        <w:t xml:space="preserve">In a small upstream company, the same attorney handles your JV dispute, your PSA review, and your corporate governance. The same landman is on three different prospects. Person-based folders would create constant ambiguity about where to file. Function-based filing means every email has one natural home.</w:t>
      </w:r>
    </w:p>
    <w:p>
      <w:pPr>
        <w:spacing w:after="200"/>
      </w:pPr>
    </w:p>
    <w:p>
      <w:pPr>
        <w:spacing w:after="120"/>
      </w:pPr>
      <w:r>
        <w:rPr>
          <w:rFonts w:ascii="Arial" w:cs="Arial" w:eastAsia="Arial" w:hAnsi="Arial"/>
          <w:b/>
          <w:bCs/>
          <w:sz w:val="22"/>
          <w:szCs w:val="22"/>
        </w:rPr>
        <w:t xml:space="preserve">Why asset/project subfolders are dynamic: </w:t>
      </w:r>
      <w:r>
        <w:rPr>
          <w:rFonts w:ascii="Arial" w:cs="Arial" w:eastAsia="Arial" w:hAnsi="Arial"/>
          <w:sz w:val="22"/>
          <w:szCs w:val="22"/>
        </w:rPr>
        <w:t xml:space="preserve">E&amp;P is deal-driven. You may have 3 active prospects or 15. Wells get drilled and completed. Projects start and end. The functional top-level stays static; the asset-level subfolders within Operations, Land, Engineering, and BD evolve with your portfolio.</w:t>
      </w:r>
    </w:p>
    <w:p>
      <w:pPr>
        <w:spacing w:after="200"/>
      </w:pPr>
    </w:p>
    <w:p>
      <w:pPr>
        <w:spacing w:after="120"/>
      </w:pPr>
      <w:r>
        <w:rPr>
          <w:rFonts w:ascii="Arial" w:cs="Arial" w:eastAsia="Arial" w:hAnsi="Arial"/>
          <w:b/>
          <w:bCs/>
          <w:sz w:val="22"/>
          <w:szCs w:val="22"/>
        </w:rPr>
        <w:t xml:space="preserve">Why two levels max for daily use: </w:t>
      </w:r>
      <w:r>
        <w:rPr>
          <w:rFonts w:ascii="Arial" w:cs="Arial" w:eastAsia="Arial" w:hAnsi="Arial"/>
          <w:sz w:val="22"/>
          <w:szCs w:val="22"/>
        </w:rPr>
        <w:t xml:space="preserve">Research on email organization consistently shows that structures deeper than 2–3 levels are abandoned within weeks. The system must survive your busiest days, not just your most organized ones. Two taps on mobile to file an email is the ceiling.</w:t>
      </w:r>
    </w:p>
    <w:p>
      <w:pPr>
        <w:spacing w:after="200"/>
      </w:pPr>
    </w:p>
    <w:p>
      <w:r>
        <w:br w:type="page"/>
      </w:r>
    </w:p>
    <w:p>
      <w:pPr>
        <w:pStyle w:val="Heading1"/>
      </w:pPr>
      <w:r>
        <w:t xml:space="preserve">3. Phase 2 — Cataloging Execution &amp; Ongoing Framework</w:t>
      </w:r>
    </w:p>
    <w:p>
      <w:pPr>
        <w:pStyle w:val="Heading2"/>
      </w:pPr>
      <w:r>
        <w:t xml:space="preserve">3.1 Initial Cataloging (57,000 Emails)</w:t>
      </w:r>
    </w:p>
    <w:p>
      <w:pPr>
        <w:spacing w:after="120"/>
      </w:pPr>
      <w:r>
        <w:rPr>
          <w:rFonts w:ascii="Arial" w:cs="Arial" w:eastAsia="Arial" w:hAnsi="Arial"/>
          <w:sz w:val="22"/>
          <w:szCs w:val="22"/>
        </w:rPr>
        <w:t xml:space="preserve">Once the folder structure is approved, I will deliver a PowerShell script package that uses the Microsoft Graph API to:</w:t>
      </w:r>
    </w:p>
    <w:p>
      <w:pPr>
        <w:spacing w:after="200"/>
      </w:pPr>
    </w:p>
    <w:p>
      <w:pPr>
        <w:pStyle w:val="ListParagraph"/>
        <w:numPr>
          <w:ilvl w:val="0"/>
          <w:numId w:val="3"/>
        </w:numPr>
        <w:spacing w:after="80"/>
      </w:pPr>
      <w:r>
        <w:rPr>
          <w:rFonts w:ascii="Arial" w:cs="Arial" w:eastAsia="Arial" w:hAnsi="Arial"/>
          <w:b/>
          <w:bCs/>
          <w:sz w:val="22"/>
          <w:szCs w:val="22"/>
        </w:rPr>
        <w:t xml:space="preserve">Scan all Inbox emails </w:t>
      </w:r>
      <w:r>
        <w:rPr>
          <w:rFonts w:ascii="Arial" w:cs="Arial" w:eastAsia="Arial" w:hAnsi="Arial"/>
          <w:sz w:val="22"/>
          <w:szCs w:val="22"/>
        </w:rPr>
        <w:t xml:space="preserve">and classify each by functional area using sender domain, subject line keywords, and body content pattern matching. The classification engine will be tuned to E&amp;P-specific vocabulary (AFE, JIB, division order, spud, TD, IP, completions, etc.).</w:t>
      </w:r>
    </w:p>
    <w:p>
      <w:pPr>
        <w:pStyle w:val="ListParagraph"/>
        <w:numPr>
          <w:ilvl w:val="0"/>
          <w:numId w:val="3"/>
        </w:numPr>
        <w:spacing w:after="80"/>
      </w:pPr>
      <w:r>
        <w:rPr>
          <w:rFonts w:ascii="Arial" w:cs="Arial" w:eastAsia="Arial" w:hAnsi="Arial"/>
          <w:b/>
          <w:bCs/>
          <w:sz w:val="22"/>
          <w:szCs w:val="22"/>
        </w:rPr>
        <w:t xml:space="preserve">Apply confidence scoring. </w:t>
      </w:r>
      <w:r>
        <w:rPr>
          <w:rFonts w:ascii="Arial" w:cs="Arial" w:eastAsia="Arial" w:hAnsi="Arial"/>
          <w:sz w:val="22"/>
          <w:szCs w:val="22"/>
        </w:rPr>
        <w:t xml:space="preserve">Each email gets a confidence score for its proposed folder. High-confidence emails (≥85%) are auto-filed. Medium-confidence (60–84%) are filed but flagged for review. Low-confidence (&lt;60%) are left in a “Needs Review” folder for manual decision.</w:t>
      </w:r>
    </w:p>
    <w:p>
      <w:pPr>
        <w:pStyle w:val="ListParagraph"/>
        <w:numPr>
          <w:ilvl w:val="0"/>
          <w:numId w:val="3"/>
        </w:numPr>
        <w:spacing w:after="80"/>
      </w:pPr>
      <w:r>
        <w:rPr>
          <w:rFonts w:ascii="Arial" w:cs="Arial" w:eastAsia="Arial" w:hAnsi="Arial"/>
          <w:b/>
          <w:bCs/>
          <w:sz w:val="22"/>
          <w:szCs w:val="22"/>
        </w:rPr>
        <w:t xml:space="preserve">Preserve thread integrity. </w:t>
      </w:r>
      <w:r>
        <w:rPr>
          <w:rFonts w:ascii="Arial" w:cs="Arial" w:eastAsia="Arial" w:hAnsi="Arial"/>
          <w:sz w:val="22"/>
          <w:szCs w:val="22"/>
        </w:rPr>
        <w:t xml:space="preserve">All emails in a conversation thread are filed to the same folder based on the dominant classification of the thread, not individual messages.</w:t>
      </w:r>
    </w:p>
    <w:p>
      <w:pPr>
        <w:pStyle w:val="ListParagraph"/>
        <w:numPr>
          <w:ilvl w:val="0"/>
          <w:numId w:val="3"/>
        </w:numPr>
        <w:spacing w:after="80"/>
      </w:pPr>
      <w:r>
        <w:rPr>
          <w:rFonts w:ascii="Arial" w:cs="Arial" w:eastAsia="Arial" w:hAnsi="Arial"/>
          <w:b/>
          <w:bCs/>
          <w:sz w:val="22"/>
          <w:szCs w:val="22"/>
        </w:rPr>
        <w:t xml:space="preserve">Mirror to Archive. </w:t>
      </w:r>
      <w:r>
        <w:rPr>
          <w:rFonts w:ascii="Arial" w:cs="Arial" w:eastAsia="Arial" w:hAnsi="Arial"/>
          <w:sz w:val="22"/>
          <w:szCs w:val="22"/>
        </w:rPr>
        <w:t xml:space="preserve">After Inbox cataloging completes, the same script runs against the Archive folder to create the matching structure and file archived emails.</w:t>
      </w:r>
    </w:p>
    <w:p>
      <w:pPr>
        <w:spacing w:after="200"/>
      </w:pPr>
    </w:p>
    <w:p>
      <w:pPr>
        <w:spacing w:after="120"/>
      </w:pPr>
      <w:r>
        <w:rPr>
          <w:rFonts w:ascii="Arial" w:cs="Arial" w:eastAsia="Arial" w:hAnsi="Arial"/>
          <w:b/>
          <w:bCs/>
          <w:sz w:val="22"/>
          <w:szCs w:val="22"/>
        </w:rPr>
        <w:t xml:space="preserve">IT Requirements: </w:t>
      </w:r>
      <w:r>
        <w:rPr>
          <w:rFonts w:ascii="Arial" w:cs="Arial" w:eastAsia="Arial" w:hAnsi="Arial"/>
          <w:sz w:val="22"/>
          <w:szCs w:val="22"/>
        </w:rPr>
        <w:t xml:space="preserve">Your IT person will need to register an Azure AD application with Mail.ReadWrite and MailboxSettings.ReadWrite permissions, generate a client secret, and run the script from a machine with PowerShell 7+ and the Microsoft Graph PowerShell SDK installed. I will provide step-by-step instructions.</w:t>
      </w:r>
    </w:p>
    <w:p>
      <w:pPr>
        <w:spacing w:after="200"/>
      </w:pPr>
    </w:p>
    <w:p>
      <w:pPr>
        <w:pStyle w:val="Heading2"/>
      </w:pPr>
      <w:r>
        <w:t xml:space="preserve">3.2 Ongoing Cataloging Framework</w:t>
      </w:r>
    </w:p>
    <w:p>
      <w:pPr>
        <w:spacing w:after="120"/>
      </w:pPr>
      <w:r>
        <w:rPr>
          <w:rFonts w:ascii="Arial" w:cs="Arial" w:eastAsia="Arial" w:hAnsi="Arial"/>
          <w:sz w:val="22"/>
          <w:szCs w:val="22"/>
        </w:rPr>
        <w:t xml:space="preserve">After the initial sort, the system must self-maintain. The framework combines automated rules with periodic human review: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55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Outlook Rules (native)</w:t>
            </w:r>
          </w:p>
        </w:tc>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Real-time</w:t>
            </w:r>
          </w:p>
        </w:tc>
        <w:tc>
          <w:tcPr>
            <w:tcW w:type="dxa" w:w="5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Auto-files emails from known senders/domains into functional folders. Covers ~60–70% of incoming volume. Examples: all emails from your law firm → Legal; all emails from RRC → Regulatory; all emails from [investor name] → Investors &amp; Capital.</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Power Automate Flows</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Every 15 minutes</w:t>
            </w:r>
          </w:p>
        </w:tc>
        <w:tc>
          <w:tcPr>
            <w:tcW w:type="dxa" w:w="5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Catches emails that rules miss. Uses subject-line and body keyword matching to classify and move. Handles multi-signal classification (e.g., an email from your attorney about a JV dispute goes to Legal &gt; Litigation, not JV &amp; Partners).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Weekly Inbox Sweep</w:t>
            </w:r>
          </w:p>
        </w:tc>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Friday, 15 min</w:t>
            </w:r>
          </w:p>
        </w:tc>
        <w:tc>
          <w:tcPr>
            <w:tcW w:type="dxa" w:w="5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You (or a designated person) reviews any emails still sitting in the Inbox that weren’t auto-filed. These become training data for new rules/flows.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Monthly Rule Tuning</w:t>
            </w:r>
          </w:p>
        </w:tc>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First Monday of month</w:t>
            </w:r>
          </w:p>
        </w:tc>
        <w:tc>
          <w:tcPr>
            <w:tcW w:type="dxa" w:w="5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Review misfiles and adjust rules. Add new senders, update keyword patterns. As your deal flow changes, the BD and Land folders may need new project subfolders.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Quarterly Archive Purge</w:t>
            </w:r>
          </w:p>
        </w:tc>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quarter</w:t>
            </w:r>
          </w:p>
        </w:tc>
        <w:tc>
          <w:tcPr>
            <w:tcW w:type="dxa" w:w="5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Move emails older than 90 days from functional folders to their Archive mirrors. Keeps the working Inbox hierarchy lean. Exceptions: active deal threads stay regardless of age.</w:t>
            </w:r>
          </w:p>
        </w:tc>
      </w:tr>
    </w:tbl>
    <w:p>
      <w:pPr>
        <w:spacing w:after="200"/>
      </w:pPr>
    </w:p>
    <w:p>
      <w:pPr>
        <w:pStyle w:val="Heading2"/>
      </w:pPr>
      <w:r>
        <w:t xml:space="preserve">3.3 Rules &amp; Exceptions</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Every email should be in exactly one folder. No email lives in two places.</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Action-state folders are temporary. Nothing stays in “ACTION REQUIRED” for more than 5 business days without being escalated or decided.</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Newsletters, automated notifications, and system emails that require no action go directly to “REVIEW / READ” or are auto-archived.</w:t>
      </w:r>
    </w:p>
    <w:p>
      <w:pPr>
        <w:spacing w:after="120"/>
      </w:pPr>
      <w:r>
        <w:rPr>
          <w:rFonts w:ascii="Arial" w:cs="Arial" w:eastAsia="Arial" w:hAnsi="Arial"/>
          <w:b/>
          <w:bCs/>
          <w:sz w:val="22"/>
          <w:szCs w:val="22"/>
        </w:rPr>
        <w:t xml:space="preserve">Exception: </w:t>
      </w:r>
      <w:r>
        <w:rPr>
          <w:rFonts w:ascii="Arial" w:cs="Arial" w:eastAsia="Arial" w:hAnsi="Arial"/>
          <w:sz w:val="22"/>
          <w:szCs w:val="22"/>
        </w:rPr>
        <w:t xml:space="preserve">Emails that genuinely span two functional areas (e.g., a regulatory issue on an active deal) are filed to the area where the action lives. A deal-related regulatory filing goes in BD &gt; [Deal Name], not Regulatory, because the deal context is what you’ll search for.</w:t>
      </w:r>
    </w:p>
    <w:p>
      <w:pPr>
        <w:spacing w:after="120"/>
      </w:pPr>
      <w:r>
        <w:rPr>
          <w:rFonts w:ascii="Arial" w:cs="Arial" w:eastAsia="Arial" w:hAnsi="Arial"/>
          <w:b/>
          <w:bCs/>
          <w:sz w:val="22"/>
          <w:szCs w:val="22"/>
        </w:rPr>
        <w:t xml:space="preserve">Exception: </w:t>
      </w:r>
      <w:r>
        <w:rPr>
          <w:rFonts w:ascii="Arial" w:cs="Arial" w:eastAsia="Arial" w:hAnsi="Arial"/>
          <w:sz w:val="22"/>
          <w:szCs w:val="22"/>
        </w:rPr>
        <w:t xml:space="preserve">Emails from you to yourself (notes, reminders) go to whichever functional folder the content relates to.</w:t>
      </w:r>
    </w:p>
    <w:p>
      <w:pPr>
        <w:spacing w:after="200"/>
      </w:pPr>
    </w:p>
    <w:p>
      <w:r>
        <w:br w:type="page"/>
      </w:r>
    </w:p>
    <w:p>
      <w:pPr>
        <w:pStyle w:val="Heading1"/>
      </w:pPr>
      <w:r>
        <w:t xml:space="preserve">4. Phase 3 — Email Reminder &amp; Response Intelligence System</w:t>
      </w:r>
    </w:p>
    <w:p>
      <w:pPr>
        <w:pStyle w:val="Heading2"/>
      </w:pPr>
      <w:r>
        <w:t xml:space="preserve">4.1 Research Summary: Existing Approaches</w:t>
      </w:r>
    </w:p>
    <w:p>
      <w:pPr>
        <w:spacing w:after="120"/>
      </w:pPr>
      <w:r>
        <w:rPr>
          <w:rFonts w:ascii="Arial" w:cs="Arial" w:eastAsia="Arial" w:hAnsi="Arial"/>
          <w:sz w:val="22"/>
          <w:szCs w:val="22"/>
        </w:rPr>
        <w:t xml:space="preserve">The market has several approaches to this problem, each with significant limitations for your use case: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 / Approach</w:t>
            </w:r>
          </w:p>
        </w:tc>
        <w:tc>
          <w:tcPr>
            <w:tcW w:type="dxa" w:w="36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Limitation for You</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Outlook Follow-Up Flags</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Manual flag + reminder popup at a set time</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Fires regardless of whether a reply was received. Popup is easily dismissed and forgotten. No intelligence.</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Boomerang for Outlook</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Snooze emails; remind only if no reply received</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Known compatibility issues with Outlook desktop. Requires per-email manual setup. No priority tiering or response drafting.</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SimplyFile</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AI-predicted folder filing with one-click</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Filing only — no reminder or response intelligence.</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Outlook Focused Inbox</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Splits inbox into Focused and Other tabs</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Binary sorting with no nuance. Doesn’t track what needs a response or what’s gone unanswered.</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Power Automate + Graph API</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Custom automation: scan sent items for unreplied, flag, categorize</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Powerful but requires custom development. No UI layer for daily use. This is the engine we’ll build on.</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Superhuman / Hey.com</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Full email client replacements with triage features</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Requires switching away from Outlook. Not viable for M365 corporate environment.</w:t>
            </w:r>
          </w:p>
        </w:tc>
      </w:tr>
    </w:tbl>
    <w:p>
      <w:pPr>
        <w:spacing w:after="200"/>
      </w:pP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No off-the-shelf tool does what you need. The right solution is a custom application built on top of Microsoft Graph API that connects to your Outlook data and delivers intelligence through a dedicated interface — not buried inside Outlook’s own UI.</w:t>
      </w:r>
    </w:p>
    <w:p>
      <w:pPr>
        <w:spacing w:after="200"/>
      </w:pPr>
    </w:p>
    <w:p>
      <w:pPr>
        <w:pStyle w:val="Heading2"/>
      </w:pPr>
      <w:r>
        <w:t xml:space="preserve">4.2 System Architecture</w:t>
      </w:r>
    </w:p>
    <w:p>
      <w:pPr>
        <w:spacing w:after="120"/>
      </w:pPr>
      <w:r>
        <w:rPr>
          <w:rFonts w:ascii="Arial" w:cs="Arial" w:eastAsia="Arial" w:hAnsi="Arial"/>
          <w:sz w:val="22"/>
          <w:szCs w:val="22"/>
        </w:rPr>
        <w:t xml:space="preserve">The reminder and response system is a standalone Progressive Web App (PWA) that works on both your desktop browser and your Samsung Galaxy Fold. It connects to your Outlook via Microsoft Graph API and provides three core functions:</w:t>
      </w:r>
    </w:p>
    <w:p>
      <w:pPr>
        <w:spacing w:after="200"/>
      </w:pPr>
    </w:p>
    <w:p>
      <w:pPr>
        <w:pStyle w:val="Heading3"/>
      </w:pPr>
      <w:r>
        <w:t xml:space="preserve">Function A: Inbound Response Tracker</w:t>
      </w:r>
    </w:p>
    <w:p>
      <w:pPr>
        <w:spacing w:after="120"/>
      </w:pPr>
      <w:r>
        <w:rPr>
          <w:rFonts w:ascii="Arial" w:cs="Arial" w:eastAsia="Arial" w:hAnsi="Arial"/>
          <w:sz w:val="22"/>
          <w:szCs w:val="22"/>
        </w:rPr>
        <w:t xml:space="preserve">Surfaces emails in your inbox that likely need a response from you but haven’t gotten one.</w:t>
      </w:r>
    </w:p>
    <w:p>
      <w:pPr>
        <w:spacing w:after="200"/>
      </w:pP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The app continuously scans your inbox and categorizes each email using the following relevance signals:</w:t>
      </w:r>
    </w:p>
    <w:p>
      <w:pPr>
        <w:pStyle w:val="ListParagraph"/>
        <w:numPr>
          <w:ilvl w:val="0"/>
          <w:numId w:val="2"/>
        </w:numPr>
        <w:spacing w:after="80"/>
      </w:pPr>
      <w:r>
        <w:rPr>
          <w:rFonts w:ascii="Arial" w:cs="Arial" w:eastAsia="Arial" w:hAnsi="Arial"/>
          <w:sz w:val="22"/>
          <w:szCs w:val="22"/>
        </w:rPr>
        <w:t xml:space="preserve">Direct questions addressed to you (NLP detection of question marks, request language, “can you,” “please advise,” etc.)</w:t>
      </w:r>
    </w:p>
    <w:p>
      <w:pPr>
        <w:pStyle w:val="ListParagraph"/>
        <w:numPr>
          <w:ilvl w:val="0"/>
          <w:numId w:val="2"/>
        </w:numPr>
        <w:spacing w:after="80"/>
      </w:pPr>
      <w:r>
        <w:rPr>
          <w:rFonts w:ascii="Arial" w:cs="Arial" w:eastAsia="Arial" w:hAnsi="Arial"/>
          <w:sz w:val="22"/>
          <w:szCs w:val="22"/>
        </w:rPr>
        <w:t xml:space="preserve">@-mentions of your name</w:t>
      </w:r>
    </w:p>
    <w:p>
      <w:pPr>
        <w:pStyle w:val="ListParagraph"/>
        <w:numPr>
          <w:ilvl w:val="0"/>
          <w:numId w:val="2"/>
        </w:numPr>
        <w:spacing w:after="80"/>
      </w:pPr>
      <w:r>
        <w:rPr>
          <w:rFonts w:ascii="Arial" w:cs="Arial" w:eastAsia="Arial" w:hAnsi="Arial"/>
          <w:sz w:val="22"/>
          <w:szCs w:val="22"/>
        </w:rPr>
        <w:t xml:space="preserve">Emails from high-priority senders (configurable VIP list: investors, board, key partners, your attorney)</w:t>
      </w:r>
    </w:p>
    <w:p>
      <w:pPr>
        <w:pStyle w:val="ListParagraph"/>
        <w:numPr>
          <w:ilvl w:val="0"/>
          <w:numId w:val="2"/>
        </w:numPr>
        <w:spacing w:after="80"/>
      </w:pPr>
      <w:r>
        <w:rPr>
          <w:rFonts w:ascii="Arial" w:cs="Arial" w:eastAsia="Arial" w:hAnsi="Arial"/>
          <w:sz w:val="22"/>
          <w:szCs w:val="22"/>
        </w:rPr>
        <w:t xml:space="preserve">Emails related to active deals or operations (matched against your folder structure and keyword library)</w:t>
      </w:r>
    </w:p>
    <w:p>
      <w:pPr>
        <w:pStyle w:val="ListParagraph"/>
        <w:numPr>
          <w:ilvl w:val="0"/>
          <w:numId w:val="2"/>
        </w:numPr>
        <w:spacing w:after="80"/>
      </w:pPr>
      <w:r>
        <w:rPr>
          <w:rFonts w:ascii="Arial" w:cs="Arial" w:eastAsia="Arial" w:hAnsi="Arial"/>
          <w:sz w:val="22"/>
          <w:szCs w:val="22"/>
        </w:rPr>
        <w:t xml:space="preserve">Emails where you are the sole or primary recipient (not CC’d on a blast)</w:t>
      </w:r>
    </w:p>
    <w:p>
      <w:pPr>
        <w:pStyle w:val="ListParagraph"/>
        <w:numPr>
          <w:ilvl w:val="0"/>
          <w:numId w:val="2"/>
        </w:numPr>
        <w:spacing w:after="80"/>
      </w:pPr>
      <w:r>
        <w:rPr>
          <w:rFonts w:ascii="Arial" w:cs="Arial" w:eastAsia="Arial" w:hAnsi="Arial"/>
          <w:sz w:val="22"/>
          <w:szCs w:val="22"/>
        </w:rPr>
        <w:t xml:space="preserve">Thread context: if you were previously active in the thread but have gone silent</w:t>
      </w:r>
    </w:p>
    <w:p>
      <w:pPr>
        <w:spacing w:after="200"/>
      </w:pPr>
    </w:p>
    <w:p>
      <w:pPr>
        <w:spacing w:after="120"/>
      </w:pPr>
      <w:r>
        <w:rPr>
          <w:rFonts w:ascii="Arial" w:cs="Arial" w:eastAsia="Arial" w:hAnsi="Arial"/>
          <w:b/>
          <w:bCs/>
          <w:sz w:val="22"/>
          <w:szCs w:val="22"/>
        </w:rPr>
        <w:t xml:space="preserve">Priority Tiers: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380"/>
        <w:gridCol w:w="3680"/>
      </w:tblGrid>
      <w:tr>
        <w:tc>
          <w:tcPr>
            <w:tcW w:type="dxa" w:w="1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9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3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6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Reminder Timing</w:t>
            </w:r>
          </w:p>
        </w:tc>
      </w:tr>
      <w:tr>
        <w:tc>
          <w:tcPr>
            <w:tcW w:type="dxa" w:w="1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Critical</w:t>
            </w:r>
          </w:p>
        </w:tc>
        <w:tc>
          <w:tcPr>
            <w:tcW w:type="dxa" w:w="9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Red</w:t>
            </w:r>
          </w:p>
        </w:tc>
        <w:tc>
          <w:tcPr>
            <w:tcW w:type="dxa" w:w="33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VIP sender + direct question/request + you are sole recipient</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4 hours after receipt, then every 24 hours</w:t>
            </w:r>
          </w:p>
        </w:tc>
      </w:tr>
      <w:tr>
        <w:tc>
          <w:tcPr>
            <w:tcW w:type="dxa" w:w="1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Important</w:t>
            </w:r>
          </w:p>
        </w:tc>
        <w:tc>
          <w:tcPr>
            <w:tcW w:type="dxa" w:w="9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33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Relevant sender + action language OR active deal/project thread</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24 hours after receipt, then every 48 hours</w:t>
            </w:r>
          </w:p>
        </w:tc>
      </w:tr>
      <w:tr>
        <w:tc>
          <w:tcPr>
            <w:tcW w:type="dxa" w:w="1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Standard</w:t>
            </w:r>
          </w:p>
        </w:tc>
        <w:tc>
          <w:tcPr>
            <w:tcW w:type="dxa" w:w="9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Yellow</w:t>
            </w:r>
          </w:p>
        </w:tc>
        <w:tc>
          <w:tcPr>
            <w:tcW w:type="dxa" w:w="33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Identifiable response-worthy email that doesn’t meet higher criteria</w:t>
            </w:r>
          </w:p>
        </w:tc>
        <w:tc>
          <w:tcPr>
            <w:tcW w:type="dxa" w:w="3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48 hours after receipt, single reminder</w:t>
            </w:r>
          </w:p>
        </w:tc>
      </w:tr>
      <w:tr>
        <w:tc>
          <w:tcPr>
            <w:tcW w:type="dxa" w:w="1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Low / FYI</w:t>
            </w:r>
          </w:p>
        </w:tc>
        <w:tc>
          <w:tcPr>
            <w:tcW w:type="dxa" w:w="9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Gray</w:t>
            </w:r>
          </w:p>
        </w:tc>
        <w:tc>
          <w:tcPr>
            <w:tcW w:type="dxa" w:w="33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CC’d, newsletter-style, or informational — flagged but no reminder</w:t>
            </w:r>
          </w:p>
        </w:tc>
        <w:tc>
          <w:tcPr>
            <w:tcW w:type="dxa" w:w="3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 automated reminder; visible in dashboard</w:t>
            </w:r>
          </w:p>
        </w:tc>
      </w:tr>
    </w:tbl>
    <w:p>
      <w:pPr>
        <w:spacing w:after="200"/>
      </w:pPr>
    </w:p>
    <w:p>
      <w:pPr>
        <w:pStyle w:val="Heading3"/>
      </w:pPr>
      <w:r>
        <w:t xml:space="preserve">Function B: Outbound Reply Tracker</w:t>
      </w:r>
    </w:p>
    <w:p>
      <w:pPr>
        <w:spacing w:after="120"/>
      </w:pPr>
      <w:r>
        <w:rPr>
          <w:rFonts w:ascii="Arial" w:cs="Arial" w:eastAsia="Arial" w:hAnsi="Arial"/>
          <w:sz w:val="22"/>
          <w:szCs w:val="22"/>
        </w:rPr>
        <w:t xml:space="preserve">Tracks emails you’ve sent that haven’t received a reply.</w:t>
      </w:r>
    </w:p>
    <w:p>
      <w:pPr>
        <w:spacing w:after="200"/>
      </w:pP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Scans your Sent Items. For each sent email that contains a question, request, or action item, the app checks whether a reply has been received in the same conversation thread. If not, it surfaces the email with the same tiered priority system.</w:t>
      </w:r>
    </w:p>
    <w:p>
      <w:pPr>
        <w:spacing w:after="200"/>
      </w:pPr>
    </w:p>
    <w:p>
      <w:pPr>
        <w:spacing w:after="120"/>
      </w:pPr>
      <w:r>
        <w:rPr>
          <w:rFonts w:ascii="Arial" w:cs="Arial" w:eastAsia="Arial" w:hAnsi="Arial"/>
          <w:sz w:val="22"/>
          <w:szCs w:val="22"/>
        </w:rPr>
        <w:t xml:space="preserve">Additional signals for outbound tracking:</w:t>
      </w:r>
    </w:p>
    <w:p>
      <w:pPr>
        <w:pStyle w:val="ListParagraph"/>
        <w:numPr>
          <w:ilvl w:val="0"/>
          <w:numId w:val="2"/>
        </w:numPr>
        <w:spacing w:after="80"/>
      </w:pPr>
      <w:r>
        <w:rPr>
          <w:rFonts w:ascii="Arial" w:cs="Arial" w:eastAsia="Arial" w:hAnsi="Arial"/>
          <w:sz w:val="22"/>
          <w:szCs w:val="22"/>
        </w:rPr>
        <w:t xml:space="preserve">Time sensitivity: if the sent email references a deadline, the reminder escalates as the deadline approaches</w:t>
      </w:r>
    </w:p>
    <w:p>
      <w:pPr>
        <w:pStyle w:val="ListParagraph"/>
        <w:numPr>
          <w:ilvl w:val="0"/>
          <w:numId w:val="2"/>
        </w:numPr>
        <w:spacing w:after="80"/>
      </w:pPr>
      <w:r>
        <w:rPr>
          <w:rFonts w:ascii="Arial" w:cs="Arial" w:eastAsia="Arial" w:hAnsi="Arial"/>
          <w:sz w:val="22"/>
          <w:szCs w:val="22"/>
        </w:rPr>
        <w:t xml:space="preserve">Deal stage: sent emails related to active deals get higher priority by default</w:t>
      </w:r>
    </w:p>
    <w:p>
      <w:pPr>
        <w:pStyle w:val="ListParagraph"/>
        <w:numPr>
          <w:ilvl w:val="0"/>
          <w:numId w:val="2"/>
        </w:numPr>
        <w:spacing w:after="80"/>
      </w:pPr>
      <w:r>
        <w:rPr>
          <w:rFonts w:ascii="Arial" w:cs="Arial" w:eastAsia="Arial" w:hAnsi="Arial"/>
          <w:sz w:val="22"/>
          <w:szCs w:val="22"/>
        </w:rPr>
        <w:t xml:space="preserve">Follow-up count: if you’ve already followed up once, the app escalates the priority</w:t>
      </w:r>
    </w:p>
    <w:p>
      <w:pPr>
        <w:spacing w:after="200"/>
      </w:pPr>
    </w:p>
    <w:p>
      <w:pPr>
        <w:pStyle w:val="Heading3"/>
      </w:pPr>
      <w:r>
        <w:t xml:space="preserve">Function C: AI Response Drafting</w:t>
      </w:r>
    </w:p>
    <w:p>
      <w:pPr>
        <w:spacing w:after="120"/>
      </w:pPr>
      <w:r>
        <w:rPr>
          <w:rFonts w:ascii="Arial" w:cs="Arial" w:eastAsia="Arial" w:hAnsi="Arial"/>
          <w:sz w:val="22"/>
          <w:szCs w:val="22"/>
        </w:rPr>
        <w:t xml:space="preserve">For each email surfaced by the Inbound Tracker, the app generates a draft response calibrated to context.</w:t>
      </w:r>
    </w:p>
    <w:p>
      <w:pPr>
        <w:spacing w:after="200"/>
      </w:pPr>
    </w:p>
    <w:p>
      <w:pPr>
        <w:spacing w:after="120"/>
      </w:pPr>
      <w:r>
        <w:rPr>
          <w:rFonts w:ascii="Arial" w:cs="Arial" w:eastAsia="Arial" w:hAnsi="Arial"/>
          <w:b/>
          <w:bCs/>
          <w:sz w:val="22"/>
          <w:szCs w:val="22"/>
        </w:rPr>
        <w:t xml:space="preserve">How it works: </w:t>
      </w:r>
      <w:r>
        <w:rPr>
          <w:rFonts w:ascii="Arial" w:cs="Arial" w:eastAsia="Arial" w:hAnsi="Arial"/>
          <w:sz w:val="22"/>
          <w:szCs w:val="22"/>
        </w:rPr>
        <w:t xml:space="preserve">When you tap on a flagged email, the app uses Claude’s API to analyze the email thread and generate 2–3 response options: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9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Quick Acknowledge</w:t>
            </w:r>
          </w:p>
        </w:tc>
        <w:tc>
          <w:tcPr>
            <w:tcW w:type="dxa" w:w="69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1–2 sentence response confirming receipt and/or indicating next steps. For emails where the sender just needs to know you saw it.</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Substantive Reply</w:t>
            </w:r>
          </w:p>
        </w:tc>
        <w:tc>
          <w:tcPr>
            <w:tcW w:type="dxa" w:w="69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Full response addressing the content, questions, or requests in the email. Matches the formality and detail level of the sender’s email.</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Delegate / Redirect</w:t>
            </w:r>
          </w:p>
        </w:tc>
        <w:tc>
          <w:tcPr>
            <w:tcW w:type="dxa" w:w="69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Response that redirects the sender to the appropriate team member, with context provided so the team member can pick it up.</w:t>
            </w:r>
          </w:p>
        </w:tc>
      </w:tr>
    </w:tbl>
    <w:p>
      <w:pPr>
        <w:spacing w:after="200"/>
      </w:pPr>
    </w:p>
    <w:p>
      <w:pPr>
        <w:spacing w:after="120"/>
      </w:pPr>
      <w:r>
        <w:rPr>
          <w:rFonts w:ascii="Arial" w:cs="Arial" w:eastAsia="Arial" w:hAnsi="Arial"/>
          <w:sz w:val="22"/>
          <w:szCs w:val="22"/>
        </w:rPr>
        <w:t xml:space="preserve">Each draft is calibrated to your voice and the relationship context. You can edit, approve and send, or dismiss. The goal is to reduce the decision overhead from “should I respond and what should I say” to “which of these three options is closest.”</w:t>
      </w:r>
    </w:p>
    <w:p>
      <w:pPr>
        <w:spacing w:after="200"/>
      </w:pPr>
    </w:p>
    <w:p>
      <w:pPr>
        <w:pStyle w:val="Heading2"/>
      </w:pPr>
      <w:r>
        <w:t xml:space="preserve">4.3 Reminder UX Design Principles</w:t>
      </w:r>
    </w:p>
    <w:p>
      <w:pPr>
        <w:spacing w:after="120"/>
      </w:pPr>
      <w:r>
        <w:rPr>
          <w:rFonts w:ascii="Arial" w:cs="Arial" w:eastAsia="Arial" w:hAnsi="Arial"/>
          <w:sz w:val="22"/>
          <w:szCs w:val="22"/>
        </w:rPr>
        <w:t xml:space="preserve">Based on your directive that reminders should be easy to identify but not overbearing:</w:t>
      </w:r>
    </w:p>
    <w:p>
      <w:pPr>
        <w:spacing w:after="200"/>
      </w:pPr>
    </w:p>
    <w:p>
      <w:pPr>
        <w:pStyle w:val="ListParagraph"/>
        <w:numPr>
          <w:ilvl w:val="0"/>
          <w:numId w:val="2"/>
        </w:numPr>
        <w:spacing w:after="80"/>
      </w:pPr>
      <w:r>
        <w:rPr>
          <w:rFonts w:ascii="Arial" w:cs="Arial" w:eastAsia="Arial" w:hAnsi="Arial"/>
          <w:sz w:val="22"/>
          <w:szCs w:val="22"/>
        </w:rPr>
        <w:t xml:space="preserve">No popup interruptions. The app uses a persistent badge count (like an unread message count) on both desktop and mobile.</w:t>
      </w:r>
    </w:p>
    <w:p>
      <w:pPr>
        <w:pStyle w:val="ListParagraph"/>
        <w:numPr>
          <w:ilvl w:val="0"/>
          <w:numId w:val="2"/>
        </w:numPr>
        <w:spacing w:after="80"/>
      </w:pPr>
      <w:r>
        <w:rPr>
          <w:rFonts w:ascii="Arial" w:cs="Arial" w:eastAsia="Arial" w:hAnsi="Arial"/>
          <w:sz w:val="22"/>
          <w:szCs w:val="22"/>
        </w:rPr>
        <w:t xml:space="preserve">Dashboard-first. When you open the app, you see a single-screen summary: Critical items at top (red), Important below (orange), Standard below that (yellow). One tap expands any item to see the email and draft responses.</w:t>
      </w:r>
    </w:p>
    <w:p>
      <w:pPr>
        <w:pStyle w:val="ListParagraph"/>
        <w:numPr>
          <w:ilvl w:val="0"/>
          <w:numId w:val="2"/>
        </w:numPr>
        <w:spacing w:after="80"/>
      </w:pPr>
      <w:r>
        <w:rPr>
          <w:rFonts w:ascii="Arial" w:cs="Arial" w:eastAsia="Arial" w:hAnsi="Arial"/>
          <w:sz w:val="22"/>
          <w:szCs w:val="22"/>
        </w:rPr>
        <w:t xml:space="preserve">Morning digest. A single daily email (configurable time, default 7:30 AM) summarizing: how many items in each tier, any escalations since yesterday, and the top 3 most time-sensitive items.</w:t>
      </w:r>
    </w:p>
    <w:p>
      <w:pPr>
        <w:pStyle w:val="ListParagraph"/>
        <w:numPr>
          <w:ilvl w:val="0"/>
          <w:numId w:val="2"/>
        </w:numPr>
        <w:spacing w:after="80"/>
      </w:pPr>
      <w:r>
        <w:rPr>
          <w:rFonts w:ascii="Arial" w:cs="Arial" w:eastAsia="Arial" w:hAnsi="Arial"/>
          <w:sz w:val="22"/>
          <w:szCs w:val="22"/>
        </w:rPr>
        <w:t xml:space="preserve">No alert fatigue. Once you dismiss or act on an item, it’s gone. Items don’t recycle unless they’re genuinely re-escalated by new activity in the thread.</w:t>
      </w:r>
    </w:p>
    <w:p>
      <w:pPr>
        <w:pStyle w:val="ListParagraph"/>
        <w:numPr>
          <w:ilvl w:val="0"/>
          <w:numId w:val="2"/>
        </w:numPr>
        <w:spacing w:after="80"/>
      </w:pPr>
      <w:r>
        <w:rPr>
          <w:rFonts w:ascii="Arial" w:cs="Arial" w:eastAsia="Arial" w:hAnsi="Arial"/>
          <w:sz w:val="22"/>
          <w:szCs w:val="22"/>
        </w:rPr>
        <w:t xml:space="preserve">Mute function. You can mute specific threads, senders, or topics that you’ve consciously decided not to respond to. Muted items disappear from the dashboard.</w:t>
      </w:r>
    </w:p>
    <w:p>
      <w:pPr>
        <w:spacing w:after="200"/>
      </w:pPr>
    </w:p>
    <w:p>
      <w:r>
        <w:br w:type="page"/>
      </w:r>
    </w:p>
    <w:p>
      <w:pPr>
        <w:pStyle w:val="Heading1"/>
      </w:pPr>
      <w:r>
        <w:t xml:space="preserve">5. Phase 4 — Calendar Intelligence</w:t>
      </w:r>
    </w:p>
    <w:p>
      <w:pPr>
        <w:pStyle w:val="Heading2"/>
      </w:pPr>
      <w:r>
        <w:t xml:space="preserve">5.1 Research: Calendar-from-Email Approaches</w:t>
      </w:r>
    </w:p>
    <w:p>
      <w:pPr>
        <w:spacing w:after="120"/>
      </w:pPr>
      <w:r>
        <w:rPr>
          <w:rFonts w:ascii="Arial" w:cs="Arial" w:eastAsia="Arial" w:hAnsi="Arial"/>
          <w:sz w:val="22"/>
          <w:szCs w:val="22"/>
        </w:rPr>
        <w:t xml:space="preserve">You specified that meeting suggestions should not be triggered simply because a date and meeting/talk were mentioned in the same email body. The system should be smarter than that. Researched approaches fall into three categories: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4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Fit for Peak 10</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Reactive Extraction</w:t>
            </w:r>
          </w:p>
        </w:tc>
        <w:tc>
          <w:tcPr>
            <w:tcW w:type="dxa" w:w="3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Scans emails for date/time mentions and proposes calendar events. Tools like Calendly, x.ai, and Outlook’s own Suggested Times.</w:t>
            </w:r>
          </w:p>
        </w:tc>
        <w:tc>
          <w:tcPr>
            <w:tcW w:type="dxa" w:w="3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Poor. This is exactly what you don’t want — it’s keyword-triggered, not intent-triggered.</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Relationship Cadence Tracking</w:t>
            </w:r>
          </w:p>
        </w:tc>
        <w:tc>
          <w:tcPr>
            <w:tcW w:type="dxa" w:w="3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Monitors email frequency with key contacts and alerts when communication gaps exceed a threshold. Used by CRM tools like HubSpot and relationship intelligence platforms like Affinity.</w:t>
            </w:r>
          </w:p>
        </w:tc>
        <w:tc>
          <w:tcPr>
            <w:tcW w:type="dxa" w:w="3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Strong fit for maintenance. Ensures you stay in regular contact with investors, partners, key service providers.</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Contextual Opportunity Detection</w:t>
            </w:r>
          </w:p>
        </w:tc>
        <w:tc>
          <w:tcPr>
            <w:tcW w:type="dxa" w:w="3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AI analyzes email content for signals that a meeting would advance a goal: a deal is stalling, a new prospect showed interest, a regulatory deadline is approaching, a partner raised a concern that needs a call.</w:t>
            </w:r>
          </w:p>
        </w:tc>
        <w:tc>
          <w:tcPr>
            <w:tcW w:type="dxa" w:w="3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Strong fit for growth. This is the forward-looking/assertive/growth-oriented element you described.</w:t>
            </w:r>
          </w:p>
        </w:tc>
      </w:tr>
    </w:tbl>
    <w:p>
      <w:pPr>
        <w:spacing w:after="200"/>
      </w:pPr>
    </w:p>
    <w:p>
      <w:pPr>
        <w:pStyle w:val="Heading2"/>
      </w:pPr>
      <w:r>
        <w:t xml:space="preserve">5.2 Recommended Framework: Dual-Engine Calendar Intelligence</w:t>
      </w:r>
    </w:p>
    <w:p>
      <w:pPr>
        <w:spacing w:after="120"/>
      </w:pPr>
      <w:r>
        <w:rPr>
          <w:rFonts w:ascii="Arial" w:cs="Arial" w:eastAsia="Arial" w:hAnsi="Arial"/>
          <w:sz w:val="22"/>
          <w:szCs w:val="22"/>
        </w:rPr>
        <w:t xml:space="preserve">The calendar system combines both strong-fit approaches into a single module within the app:</w:t>
      </w:r>
    </w:p>
    <w:p>
      <w:pPr>
        <w:spacing w:after="200"/>
      </w:pPr>
    </w:p>
    <w:p>
      <w:pPr>
        <w:spacing w:after="120"/>
      </w:pPr>
      <w:r>
        <w:rPr>
          <w:rFonts w:ascii="Arial" w:cs="Arial" w:eastAsia="Arial" w:hAnsi="Arial"/>
          <w:b/>
          <w:bCs/>
          <w:sz w:val="24"/>
          <w:szCs w:val="24"/>
        </w:rPr>
        <w:t xml:space="preserve">Engine 1: Relationship Cadence Monitor</w:t>
      </w:r>
    </w:p>
    <w:p>
      <w:pPr>
        <w:spacing w:after="120"/>
      </w:pPr>
      <w:r>
        <w:rPr>
          <w:rFonts w:ascii="Arial" w:cs="Arial" w:eastAsia="Arial" w:hAnsi="Arial"/>
          <w:sz w:val="22"/>
          <w:szCs w:val="22"/>
        </w:rPr>
        <w:t xml:space="preserve">Maintains a contact registry of your key relationships, each with a target communication frequency: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Contact Category</w:t>
            </w:r>
          </w:p>
        </w:tc>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Cadence</w:t>
            </w:r>
          </w:p>
        </w:tc>
        <w:tc>
          <w:tcPr>
            <w:tcW w:type="dxa" w:w="49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Investors / Board</w:t>
            </w:r>
          </w:p>
        </w:tc>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2–4 weeks</w:t>
            </w:r>
          </w:p>
        </w:tc>
        <w:tc>
          <w:tcPr>
            <w:tcW w:type="dxa" w:w="49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If you haven’t emailed or met with Investor X in 3 weeks, the system suggests a check-in call.</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Active Deal Counterparties</w:t>
            </w:r>
          </w:p>
        </w:tc>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Weekly during active phase</w:t>
            </w:r>
          </w:p>
        </w:tc>
        <w:tc>
          <w:tcPr>
            <w:tcW w:type="dxa" w:w="49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If a PSA negotiation goes quiet for 7+ days, suggest a follow-up meeting.</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JV Partners</w:t>
            </w:r>
          </w:p>
        </w:tc>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Monthly</w:t>
            </w:r>
          </w:p>
        </w:tc>
        <w:tc>
          <w:tcPr>
            <w:tcW w:type="dxa" w:w="49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Routine relationship maintenance. Surface-level — “haven’t touched base in 5 weeks.”</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Key Service Providers</w:t>
            </w:r>
          </w:p>
        </w:tc>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49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Attorney, auditor, banker — not about active matters but relationship health.</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Prospective Contacts</w:t>
            </w:r>
          </w:p>
        </w:tc>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Configurable</w:t>
            </w:r>
          </w:p>
        </w:tc>
        <w:tc>
          <w:tcPr>
            <w:tcW w:type="dxa" w:w="49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 contacts from networking, conferences, or inbound deal flow — nudge to schedule a follow-up within 1–2 weeks of first contact.</w:t>
            </w:r>
          </w:p>
        </w:tc>
      </w:tr>
    </w:tbl>
    <w:p>
      <w:pPr>
        <w:spacing w:after="200"/>
      </w:pPr>
    </w:p>
    <w:p>
      <w:pPr>
        <w:spacing w:after="120"/>
      </w:pPr>
      <w:r>
        <w:rPr>
          <w:rFonts w:ascii="Arial" w:cs="Arial" w:eastAsia="Arial" w:hAnsi="Arial"/>
          <w:b/>
          <w:bCs/>
          <w:sz w:val="24"/>
          <w:szCs w:val="24"/>
        </w:rPr>
        <w:t xml:space="preserve">Engine 2: Opportunity &amp; Risk Signal Detection</w:t>
      </w:r>
    </w:p>
    <w:p>
      <w:pPr>
        <w:spacing w:after="120"/>
      </w:pPr>
      <w:r>
        <w:rPr>
          <w:rFonts w:ascii="Arial" w:cs="Arial" w:eastAsia="Arial" w:hAnsi="Arial"/>
          <w:sz w:val="22"/>
          <w:szCs w:val="22"/>
        </w:rPr>
        <w:t xml:space="preserve">This engine reads email content (via Graph API) and uses AI to detect situations where a proactive meeting would create value:</w:t>
      </w:r>
    </w:p>
    <w:p>
      <w:pPr>
        <w:spacing w:after="200"/>
      </w:pPr>
    </w:p>
    <w:p>
      <w:pPr>
        <w:pStyle w:val="ListParagraph"/>
        <w:numPr>
          <w:ilvl w:val="0"/>
          <w:numId w:val="2"/>
        </w:numPr>
        <w:spacing w:after="80"/>
      </w:pPr>
      <w:r>
        <w:rPr>
          <w:rFonts w:ascii="Arial" w:cs="Arial" w:eastAsia="Arial" w:hAnsi="Arial"/>
          <w:sz w:val="22"/>
          <w:szCs w:val="22"/>
        </w:rPr>
        <w:t xml:space="preserve">Deal momentum signals: a prospect responds positively to an LOI, a landman reports new unleased acreage adjacent to your position, a broker sends a new deal package</w:t>
      </w:r>
    </w:p>
    <w:p>
      <w:pPr>
        <w:pStyle w:val="ListParagraph"/>
        <w:numPr>
          <w:ilvl w:val="0"/>
          <w:numId w:val="2"/>
        </w:numPr>
        <w:spacing w:after="80"/>
      </w:pPr>
      <w:r>
        <w:rPr>
          <w:rFonts w:ascii="Arial" w:cs="Arial" w:eastAsia="Arial" w:hAnsi="Arial"/>
          <w:sz w:val="22"/>
          <w:szCs w:val="22"/>
        </w:rPr>
        <w:t xml:space="preserve">Stall/risk signals: a counterparty’s response time is lengthening, a partner expresses concern, a regulatory filing deadline is approaching</w:t>
      </w:r>
    </w:p>
    <w:p>
      <w:pPr>
        <w:pStyle w:val="ListParagraph"/>
        <w:numPr>
          <w:ilvl w:val="0"/>
          <w:numId w:val="2"/>
        </w:numPr>
        <w:spacing w:after="80"/>
      </w:pPr>
      <w:r>
        <w:rPr>
          <w:rFonts w:ascii="Arial" w:cs="Arial" w:eastAsia="Arial" w:hAnsi="Arial"/>
          <w:sz w:val="22"/>
          <w:szCs w:val="22"/>
        </w:rPr>
        <w:t xml:space="preserve">Growth triggers: an industry contact mentions capital availability, a new basin entry point surfaces, a competitor is exiting a position</w:t>
      </w:r>
    </w:p>
    <w:p>
      <w:pPr>
        <w:pStyle w:val="ListParagraph"/>
        <w:numPr>
          <w:ilvl w:val="0"/>
          <w:numId w:val="2"/>
        </w:numPr>
        <w:spacing w:after="80"/>
      </w:pPr>
      <w:r>
        <w:rPr>
          <w:rFonts w:ascii="Arial" w:cs="Arial" w:eastAsia="Arial" w:hAnsi="Arial"/>
          <w:sz w:val="22"/>
          <w:szCs w:val="22"/>
        </w:rPr>
        <w:t xml:space="preserve">Operational escalation: field issues that would benefit from a CEO call vs. email chain</w:t>
      </w:r>
    </w:p>
    <w:p>
      <w:pPr>
        <w:spacing w:after="200"/>
      </w:pPr>
    </w:p>
    <w:p>
      <w:pPr>
        <w:spacing w:after="120"/>
      </w:pPr>
      <w:r>
        <w:rPr>
          <w:rFonts w:ascii="Arial" w:cs="Arial" w:eastAsia="Arial" w:hAnsi="Arial"/>
          <w:sz w:val="22"/>
          <w:szCs w:val="22"/>
        </w:rPr>
        <w:t xml:space="preserve">When a signal is detected, the app suggests a specific meeting with a specific person, including a brief rationale (e.g., “John Smith responded positively to the LOI on the Permian package. Suggest a 30-minute call this week to discuss timeline and exclusivity.”)</w:t>
      </w:r>
    </w:p>
    <w:p>
      <w:pPr>
        <w:spacing w:after="200"/>
      </w:pPr>
    </w:p>
    <w:p>
      <w:pPr>
        <w:spacing w:after="120"/>
      </w:pPr>
      <w:r>
        <w:rPr>
          <w:rFonts w:ascii="Arial" w:cs="Arial" w:eastAsia="Arial" w:hAnsi="Arial"/>
          <w:b/>
          <w:bCs/>
          <w:sz w:val="22"/>
          <w:szCs w:val="22"/>
        </w:rPr>
        <w:t xml:space="preserve">Your control: </w:t>
      </w:r>
      <w:r>
        <w:rPr>
          <w:rFonts w:ascii="Arial" w:cs="Arial" w:eastAsia="Arial" w:hAnsi="Arial"/>
          <w:sz w:val="22"/>
          <w:szCs w:val="22"/>
        </w:rPr>
        <w:t xml:space="preserve">Every suggestion is just that — a suggestion. One tap to schedule (pre-populates a calendar invite with context), one tap to dismiss, one tap to snooze for later. No meeting is created without your explicit approval.</w:t>
      </w:r>
    </w:p>
    <w:p>
      <w:pPr>
        <w:spacing w:after="200"/>
      </w:pPr>
    </w:p>
    <w:p>
      <w:r>
        <w:br w:type="page"/>
      </w:r>
    </w:p>
    <w:p>
      <w:pPr>
        <w:pStyle w:val="Heading1"/>
      </w:pPr>
      <w:r>
        <w:t xml:space="preserve">6. The Product — Application Design</w:t>
      </w:r>
    </w:p>
    <w:p>
      <w:pPr>
        <w:pStyle w:val="Heading2"/>
      </w:pPr>
      <w:r>
        <w:t xml:space="preserve">6.1 Platform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21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Outlook Add-in</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Lives inside Outlook; no separate app to open</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Constrained UI, slow performance in Outlook mobile, limited AI integration capabilities</w:t>
            </w:r>
          </w:p>
        </w:tc>
        <w:tc>
          <w:tcPr>
            <w:tcW w:type="dxa" w:w="21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Not recommended</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Progressive Web App (PWA)</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Works in browser on desktop; installable on Galaxy Fold as a home-screen app; full UI control; fast iteration; AI integration via API</w:t>
            </w:r>
          </w:p>
        </w:tc>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Requires opening a separate app (not inside Outlook)</w:t>
            </w:r>
          </w:p>
        </w:tc>
        <w:tc>
          <w:tcPr>
            <w:tcW w:type="dxa" w:w="21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Recommended</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Native Mobile App + Desktop App</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Best performance; deep OS integration</w:t>
            </w:r>
          </w:p>
        </w:tc>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Expensive to build and maintain two codebases; overkill for this use case</w:t>
            </w:r>
          </w:p>
        </w:tc>
        <w:tc>
          <w:tcPr>
            <w:tcW w:type="dxa" w:w="21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Not recommended for v1</w:t>
            </w:r>
          </w:p>
        </w:tc>
      </w:tr>
    </w:tbl>
    <w:p>
      <w:pPr>
        <w:spacing w:after="200"/>
      </w:pPr>
    </w:p>
    <w:p>
      <w:pPr>
        <w:spacing w:after="120"/>
      </w:pPr>
      <w:r>
        <w:rPr>
          <w:rFonts w:ascii="Arial" w:cs="Arial" w:eastAsia="Arial" w:hAnsi="Arial"/>
          <w:b/>
          <w:bCs/>
          <w:sz w:val="22"/>
          <w:szCs w:val="22"/>
        </w:rPr>
        <w:t xml:space="preserve">Recommendation: Progressive Web App (PWA). </w:t>
      </w:r>
      <w:r>
        <w:rPr>
          <w:rFonts w:ascii="Arial" w:cs="Arial" w:eastAsia="Arial" w:hAnsi="Arial"/>
          <w:sz w:val="22"/>
          <w:szCs w:val="22"/>
        </w:rPr>
        <w:t xml:space="preserve">This gives you a single codebase that works on your desktop browser and installs as a native-feeling app on your Galaxy Fold. It connects to Outlook through Microsoft Graph API and to Claude through Anthropic’s API for response drafting and calendar intelligence. You open it like an app, not inside Outlook, which keeps it fast and avoids the cumbersomeness you flagged.</w:t>
      </w:r>
    </w:p>
    <w:p>
      <w:pPr>
        <w:spacing w:after="200"/>
      </w:pPr>
    </w:p>
    <w:p>
      <w:pPr>
        <w:pStyle w:val="Heading2"/>
      </w:pPr>
      <w:r>
        <w:t xml:space="preserve">6.2 App Screens</w:t>
      </w:r>
    </w:p>
    <w:p>
      <w:pPr>
        <w:spacing w:after="120"/>
      </w:pPr>
      <w:r>
        <w:rPr>
          <w:rFonts w:ascii="Arial" w:cs="Arial" w:eastAsia="Arial" w:hAnsi="Arial"/>
          <w:sz w:val="22"/>
          <w:szCs w:val="22"/>
        </w:rPr>
        <w:t xml:space="preserve">The app has four primary screens:</w:t>
      </w:r>
    </w:p>
    <w:p>
      <w:pPr>
        <w:spacing w:after="200"/>
      </w:pPr>
    </w:p>
    <w:p>
      <w:pPr>
        <w:pStyle w:val="ListParagraph"/>
        <w:numPr>
          <w:ilvl w:val="0"/>
          <w:numId w:val="3"/>
        </w:numPr>
        <w:spacing w:after="80"/>
      </w:pPr>
      <w:r>
        <w:rPr>
          <w:rFonts w:ascii="Arial" w:cs="Arial" w:eastAsia="Arial" w:hAnsi="Arial"/>
          <w:b/>
          <w:bCs/>
          <w:sz w:val="22"/>
          <w:szCs w:val="22"/>
        </w:rPr>
        <w:t xml:space="preserve">Dashboard: </w:t>
      </w:r>
      <w:r>
        <w:rPr>
          <w:rFonts w:ascii="Arial" w:cs="Arial" w:eastAsia="Arial" w:hAnsi="Arial"/>
          <w:sz w:val="22"/>
          <w:szCs w:val="22"/>
        </w:rPr>
        <w:t xml:space="preserve">Single-screen summary of everything needing attention. Top section: Inbound items by tier (red/orange/yellow). Middle section: Outbound awaiting reply. Bottom section: Calendar suggestions. Badge counts for each.</w:t>
      </w:r>
    </w:p>
    <w:p>
      <w:pPr>
        <w:pStyle w:val="ListParagraph"/>
        <w:numPr>
          <w:ilvl w:val="0"/>
          <w:numId w:val="3"/>
        </w:numPr>
        <w:spacing w:after="80"/>
      </w:pPr>
      <w:r>
        <w:rPr>
          <w:rFonts w:ascii="Arial" w:cs="Arial" w:eastAsia="Arial" w:hAnsi="Arial"/>
          <w:b/>
          <w:bCs/>
          <w:sz w:val="22"/>
          <w:szCs w:val="22"/>
        </w:rPr>
        <w:t xml:space="preserve">Email Detail: </w:t>
      </w:r>
      <w:r>
        <w:rPr>
          <w:rFonts w:ascii="Arial" w:cs="Arial" w:eastAsia="Arial" w:hAnsi="Arial"/>
          <w:sz w:val="22"/>
          <w:szCs w:val="22"/>
        </w:rPr>
        <w:t xml:space="preserve">Tap any item to see the full email thread, AI-generated response drafts, and action buttons (Reply, Delegate, Mute, Snooze, File).</w:t>
      </w:r>
    </w:p>
    <w:p>
      <w:pPr>
        <w:pStyle w:val="ListParagraph"/>
        <w:numPr>
          <w:ilvl w:val="0"/>
          <w:numId w:val="3"/>
        </w:numPr>
        <w:spacing w:after="80"/>
      </w:pPr>
      <w:r>
        <w:rPr>
          <w:rFonts w:ascii="Arial" w:cs="Arial" w:eastAsia="Arial" w:hAnsi="Arial"/>
          <w:b/>
          <w:bCs/>
          <w:sz w:val="22"/>
          <w:szCs w:val="22"/>
        </w:rPr>
        <w:t xml:space="preserve">Calendar View: </w:t>
      </w:r>
      <w:r>
        <w:rPr>
          <w:rFonts w:ascii="Arial" w:cs="Arial" w:eastAsia="Arial" w:hAnsi="Arial"/>
          <w:sz w:val="22"/>
          <w:szCs w:val="22"/>
        </w:rPr>
        <w:t xml:space="preserve">Integrated calendar showing your existing schedule plus suggested meetings. Suggested meetings appear as ghost blocks that you can confirm or dismiss.</w:t>
      </w:r>
    </w:p>
    <w:p>
      <w:pPr>
        <w:pStyle w:val="ListParagraph"/>
        <w:numPr>
          <w:ilvl w:val="0"/>
          <w:numId w:val="3"/>
        </w:numPr>
        <w:spacing w:after="80"/>
      </w:pPr>
      <w:r>
        <w:rPr>
          <w:rFonts w:ascii="Arial" w:cs="Arial" w:eastAsia="Arial" w:hAnsi="Arial"/>
          <w:b/>
          <w:bCs/>
          <w:sz w:val="22"/>
          <w:szCs w:val="22"/>
        </w:rPr>
        <w:t xml:space="preserve">Settings: </w:t>
      </w:r>
      <w:r>
        <w:rPr>
          <w:rFonts w:ascii="Arial" w:cs="Arial" w:eastAsia="Arial" w:hAnsi="Arial"/>
          <w:sz w:val="22"/>
          <w:szCs w:val="22"/>
        </w:rPr>
        <w:t xml:space="preserve">VIP sender list, priority rules, cadence targets, notification preferences, muted threads/senders.</w:t>
      </w:r>
    </w:p>
    <w:p>
      <w:pPr>
        <w:spacing w:after="200"/>
      </w:pPr>
    </w:p>
    <w:p>
      <w:pPr>
        <w:pStyle w:val="Heading2"/>
      </w:pPr>
      <w:r>
        <w:t xml:space="preserve">6.3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Frontend</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React (TypeScript) — compiled as PWA with service worker for offline badge counts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Node.js + Express, hosted on Azure (same ecosystem as M365)</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Integration</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Microsoft Graph API (delegated permissions via OAuth 2.0)</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AI / NLP</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Anthropic Claude API (email analysis, response drafting, signal detection)</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Calendar Integration</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Microsoft Graph Calendar API (read existing events, create suggested events)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Microsoft Entra ID (Azure AD) SSO — same login as your Outlook</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Azure Cosmos DB (stores priority state, mute lists, cadence targets, interaction logs)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6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Azure App Service (auto-scales, same region as M365 data)</w:t>
            </w:r>
          </w:p>
        </w:tc>
      </w:tr>
    </w:tbl>
    <w:p>
      <w:pPr>
        <w:spacing w:after="200"/>
      </w:pPr>
    </w:p>
    <w:p>
      <w:r>
        <w:br w:type="page"/>
      </w:r>
    </w:p>
    <w:p>
      <w:pPr>
        <w:pStyle w:val="Heading1"/>
      </w:pPr>
      <w:r>
        <w:t xml:space="preserve">7. Phase 5 — Deployment, Testing &amp; Refinement</w:t>
      </w:r>
    </w:p>
    <w:p>
      <w:pPr>
        <w:spacing w:after="200"/>
      </w:pPr>
    </w:p>
    <w:p>
      <w:pPr>
        <w:pStyle w:val="Heading2"/>
      </w:pPr>
      <w:r>
        <w:t xml:space="preserve">7.1 Deployment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75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w:t>
            </w:r>
          </w:p>
        </w:tc>
      </w:tr>
      <w:tr>
        <w:tc>
          <w:tcPr>
            <w:tcW w:type="dxa" w:w="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Claude</w:t>
            </w:r>
          </w:p>
        </w:tc>
        <w:tc>
          <w:tcPr>
            <w:tcW w:type="dxa" w:w="7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Delivers all code, scripts, and documentation</w:t>
            </w:r>
          </w:p>
        </w:tc>
      </w:tr>
      <w:tr>
        <w:tc>
          <w:tcPr>
            <w:tcW w:type="dxa" w:w="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IT Person</w:t>
            </w:r>
          </w:p>
        </w:tc>
        <w:tc>
          <w:tcPr>
            <w:tcW w:type="dxa" w:w="7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Registers Azure AD application, configures Graph API permissions, deploys backend to Azure</w:t>
            </w:r>
          </w:p>
        </w:tc>
      </w:tr>
      <w:tr>
        <w:tc>
          <w:tcPr>
            <w:tcW w:type="dxa" w:w="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IT Person</w:t>
            </w:r>
          </w:p>
        </w:tc>
        <w:tc>
          <w:tcPr>
            <w:tcW w:type="dxa" w:w="7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Runs initial cataloging scripts against Peak 10 mailbox</w:t>
            </w:r>
          </w:p>
        </w:tc>
      </w:tr>
      <w:tr>
        <w:tc>
          <w:tcPr>
            <w:tcW w:type="dxa" w:w="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CEO</w:t>
            </w:r>
          </w:p>
        </w:tc>
        <w:tc>
          <w:tcPr>
            <w:tcW w:type="dxa" w:w="7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Reviews cataloging results, approves or adjusts</w:t>
            </w:r>
          </w:p>
        </w:tc>
      </w:tr>
      <w:tr>
        <w:tc>
          <w:tcPr>
            <w:tcW w:type="dxa" w:w="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IT Person</w:t>
            </w:r>
          </w:p>
        </w:tc>
        <w:tc>
          <w:tcPr>
            <w:tcW w:type="dxa" w:w="7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Deploys Outlook rules and Power Automate flows</w:t>
            </w:r>
          </w:p>
        </w:tc>
      </w:tr>
      <w:tr>
        <w:tc>
          <w:tcPr>
            <w:tcW w:type="dxa" w:w="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IT Person</w:t>
            </w:r>
          </w:p>
        </w:tc>
        <w:tc>
          <w:tcPr>
            <w:tcW w:type="dxa" w:w="7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Deploys PWA to Azure App Service; configures custom domain</w:t>
            </w:r>
          </w:p>
        </w:tc>
      </w:tr>
      <w:tr>
        <w:tc>
          <w:tcPr>
            <w:tcW w:type="dxa" w:w="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CEO</w:t>
            </w:r>
          </w:p>
        </w:tc>
        <w:tc>
          <w:tcPr>
            <w:tcW w:type="dxa" w:w="7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Installs PWA on desktop and Galaxy Fold; begins 2-week test</w:t>
            </w:r>
          </w:p>
        </w:tc>
      </w:tr>
      <w:tr>
        <w:tc>
          <w:tcPr>
            <w:tcW w:type="dxa" w:w="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CEO + Claude</w:t>
            </w:r>
          </w:p>
        </w:tc>
        <w:tc>
          <w:tcPr>
            <w:tcW w:type="dxa" w:w="75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2-week feedback cycle: tune priority thresholds, response tone, calendar suggestions</w:t>
            </w:r>
          </w:p>
        </w:tc>
      </w:tr>
      <w:tr>
        <w:tc>
          <w:tcPr>
            <w:tcW w:type="dxa" w:w="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9</w:t>
            </w:r>
          </w:p>
        </w:tc>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Claude</w:t>
            </w:r>
          </w:p>
        </w:tc>
        <w:tc>
          <w:tcPr>
            <w:tcW w:type="dxa" w:w="75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Delivers v1.1 with refinements; project enters maintenance mode</w:t>
            </w:r>
          </w:p>
        </w:tc>
      </w:tr>
    </w:tbl>
    <w:p>
      <w:pPr>
        <w:spacing w:after="200"/>
      </w:pPr>
    </w:p>
    <w:p>
      <w:pPr>
        <w:pStyle w:val="Heading2"/>
      </w:pPr>
      <w:r>
        <w:t xml:space="preserve">7.2 Maintenance Mode</w:t>
      </w:r>
    </w:p>
    <w:p>
      <w:pPr>
        <w:spacing w:after="120"/>
      </w:pPr>
      <w:r>
        <w:rPr>
          <w:rFonts w:ascii="Arial" w:cs="Arial" w:eastAsia="Arial" w:hAnsi="Arial"/>
          <w:sz w:val="22"/>
          <w:szCs w:val="22"/>
        </w:rPr>
        <w:t xml:space="preserve">After deployment, the system is designed to be largely self-maintaining:</w:t>
      </w:r>
    </w:p>
    <w:p>
      <w:pPr>
        <w:pStyle w:val="ListParagraph"/>
        <w:numPr>
          <w:ilvl w:val="0"/>
          <w:numId w:val="2"/>
        </w:numPr>
        <w:spacing w:after="80"/>
      </w:pPr>
      <w:r>
        <w:rPr>
          <w:rFonts w:ascii="Arial" w:cs="Arial" w:eastAsia="Arial" w:hAnsi="Arial"/>
          <w:sz w:val="22"/>
          <w:szCs w:val="22"/>
        </w:rPr>
        <w:t xml:space="preserve">Rules and flows auto-file incoming email</w:t>
      </w:r>
    </w:p>
    <w:p>
      <w:pPr>
        <w:pStyle w:val="ListParagraph"/>
        <w:numPr>
          <w:ilvl w:val="0"/>
          <w:numId w:val="2"/>
        </w:numPr>
        <w:spacing w:after="80"/>
      </w:pPr>
      <w:r>
        <w:rPr>
          <w:rFonts w:ascii="Arial" w:cs="Arial" w:eastAsia="Arial" w:hAnsi="Arial"/>
          <w:sz w:val="22"/>
          <w:szCs w:val="22"/>
        </w:rPr>
        <w:t xml:space="preserve">The PWA continuously scans and surfaces reminders</w:t>
      </w:r>
    </w:p>
    <w:p>
      <w:pPr>
        <w:pStyle w:val="ListParagraph"/>
        <w:numPr>
          <w:ilvl w:val="0"/>
          <w:numId w:val="2"/>
        </w:numPr>
        <w:spacing w:after="80"/>
      </w:pPr>
      <w:r>
        <w:rPr>
          <w:rFonts w:ascii="Arial" w:cs="Arial" w:eastAsia="Arial" w:hAnsi="Arial"/>
          <w:sz w:val="22"/>
          <w:szCs w:val="22"/>
        </w:rPr>
        <w:t xml:space="preserve">Calendar suggestions are generated automatically</w:t>
      </w:r>
    </w:p>
    <w:p>
      <w:pPr>
        <w:pStyle w:val="ListParagraph"/>
        <w:numPr>
          <w:ilvl w:val="0"/>
          <w:numId w:val="2"/>
        </w:numPr>
        <w:spacing w:after="80"/>
      </w:pPr>
      <w:r>
        <w:rPr>
          <w:rFonts w:ascii="Arial" w:cs="Arial" w:eastAsia="Arial" w:hAnsi="Arial"/>
          <w:sz w:val="22"/>
          <w:szCs w:val="22"/>
        </w:rPr>
        <w:t xml:space="preserve">Your only ongoing input: act on the dashboard items, and do the weekly Inbox sweep and monthly rule tuning described in Section 3.2</w:t>
      </w:r>
    </w:p>
    <w:p>
      <w:pPr>
        <w:spacing w:after="200"/>
      </w:pPr>
    </w:p>
    <w:p>
      <w:pPr>
        <w:pStyle w:val="Heading1"/>
      </w:pPr>
      <w:r>
        <w:t xml:space="preserve">8. Approval Gates &amp; Next Steps</w:t>
      </w:r>
    </w:p>
    <w:p>
      <w:pPr>
        <w:spacing w:after="200"/>
      </w:pPr>
    </w:p>
    <w:p>
      <w:pPr>
        <w:spacing w:after="120"/>
      </w:pPr>
      <w:r>
        <w:rPr>
          <w:rFonts w:ascii="Arial" w:cs="Arial" w:eastAsia="Arial" w:hAnsi="Arial"/>
          <w:sz w:val="22"/>
          <w:szCs w:val="22"/>
        </w:rPr>
        <w:t xml:space="preserve">The following gates require your explicit approval before I proceed to the next phase: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80"/>
        <w:gridCol w:w="4280"/>
      </w:tblGrid>
      <w:tr>
        <w:tc>
          <w:tcPr>
            <w:tcW w:type="dxa" w:w="1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You’re Approving</w:t>
            </w:r>
          </w:p>
        </w:tc>
        <w:tc>
          <w:tcPr>
            <w:tcW w:type="dxa" w:w="42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 Next</w:t>
            </w:r>
          </w:p>
        </w:tc>
      </w:tr>
      <w:tr>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Gate 1</w:t>
            </w:r>
          </w:p>
        </w:tc>
        <w:tc>
          <w:tcPr>
            <w:tcW w:type="dxa" w:w="3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This project map (the document you’re reading now)</w:t>
            </w:r>
          </w:p>
        </w:tc>
        <w:tc>
          <w:tcPr>
            <w:tcW w:type="dxa" w:w="4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 begin building Phase 1 deliverables</w:t>
            </w:r>
          </w:p>
        </w:tc>
      </w:tr>
      <w:tr>
        <w:tc>
          <w:tcPr>
            <w:tcW w:type="dxa" w:w="1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Gate 2</w:t>
            </w:r>
          </w:p>
        </w:tc>
        <w:tc>
          <w:tcPr>
            <w:tcW w:type="dxa" w:w="3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Folder structure for all 3 accounts (Section 2)</w:t>
            </w:r>
          </w:p>
        </w:tc>
        <w:tc>
          <w:tcPr>
            <w:tcW w:type="dxa" w:w="4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 build and deliver the cataloging scripts</w:t>
            </w:r>
          </w:p>
        </w:tc>
      </w:tr>
      <w:tr>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Gate 3</w:t>
            </w:r>
          </w:p>
        </w:tc>
        <w:tc>
          <w:tcPr>
            <w:tcW w:type="dxa" w:w="3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Cataloging results after initial run</w:t>
            </w:r>
          </w:p>
        </w:tc>
        <w:tc>
          <w:tcPr>
            <w:tcW w:type="dxa" w:w="4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 deploy ongoing rules and flows</w:t>
            </w:r>
          </w:p>
        </w:tc>
      </w:tr>
      <w:tr>
        <w:tc>
          <w:tcPr>
            <w:tcW w:type="dxa" w:w="1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Gate 4</w:t>
            </w:r>
          </w:p>
        </w:tc>
        <w:tc>
          <w:tcPr>
            <w:tcW w:type="dxa" w:w="3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App prototype (functional demo)</w:t>
            </w:r>
          </w:p>
        </w:tc>
        <w:tc>
          <w:tcPr>
            <w:tcW w:type="dxa" w:w="4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 build the full production version</w:t>
            </w:r>
          </w:p>
        </w:tc>
      </w:tr>
      <w:tr>
        <w:tc>
          <w:tcPr>
            <w:tcW w:type="dxa" w:w="1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Gate 5</w:t>
            </w:r>
          </w:p>
        </w:tc>
        <w:tc>
          <w:tcPr>
            <w:tcW w:type="dxa" w:w="3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2-week test results</w:t>
            </w:r>
          </w:p>
        </w:tc>
        <w:tc>
          <w:tcPr>
            <w:tcW w:type="dxa" w:w="4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 deliver v1.1 and the system goes live</w:t>
            </w:r>
          </w:p>
        </w:tc>
      </w:tr>
    </w:tbl>
    <w:p>
      <w:pPr>
        <w:spacing w:after="200"/>
      </w:pPr>
    </w:p>
    <w:p>
      <w:pPr>
        <w:spacing w:after="200"/>
      </w:pPr>
    </w:p>
    <w:p>
      <w:pPr>
        <w:pBdr>
          <w:bottom w:val="single" w:color="2E75B6" w:sz="4" w:space="1"/>
        </w:pBdr>
        <w:spacing w:before="200" w:after="200"/>
      </w:pPr>
    </w:p>
    <w:p>
      <w:pPr>
        <w:spacing w:after="120"/>
      </w:pPr>
      <w:r>
        <w:rPr>
          <w:rFonts w:ascii="Arial" w:cs="Arial" w:eastAsia="Arial" w:hAnsi="Arial"/>
          <w:b/>
          <w:bCs/>
          <w:sz w:val="22"/>
          <w:szCs w:val="22"/>
        </w:rPr>
        <w:t xml:space="preserve">Ready to proceed? </w:t>
      </w:r>
      <w:r>
        <w:rPr>
          <w:rFonts w:ascii="Arial" w:cs="Arial" w:eastAsia="Arial" w:hAnsi="Arial"/>
          <w:sz w:val="22"/>
          <w:szCs w:val="22"/>
        </w:rPr>
        <w:t xml:space="preserve">Review this document. Mark up, question, or challenge anything. Once Gate 1 is cleared, I start building.</w:t>
      </w:r>
    </w:p>
    <w:sectPr>
      <w:headerReference w:type="default" r:id="rId6"/>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bCs/>
        <w:color w:val="2E75B6"/>
        <w:sz w:val="16"/>
        <w:szCs w:val="16"/>
      </w:rPr>
      <w:t xml:space="preserve">PEAK 10 ENERGY</w:t>
    </w:r>
    <w:r>
      <w:rPr>
        <w:rFonts w:ascii="Arial" w:cs="Arial" w:eastAsia="Arial" w:hAnsi="Arial"/>
        <w:color w:val="888888"/>
        <w:sz w:val="16"/>
        <w:szCs w:val="16"/>
      </w:rPr>
      <w:t xml:space="preserve">  |  Project Execution 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2026-02-26T08:23:12.966Z</dcterms:created>
  <dcterms:modified xsi:type="dcterms:W3CDTF">2026-02-26T08:23:12.967Z</dcterms:modified>
</cp:coreProperties>
</file>

<file path=docProps/custom.xml><?xml version="1.0" encoding="utf-8"?>
<Properties xmlns="http://schemas.openxmlformats.org/officeDocument/2006/custom-properties" xmlns:vt="http://schemas.openxmlformats.org/officeDocument/2006/docPropsVTypes"/>
</file>