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2E75B6" w:sz="6" w:space="6"/>
        </w:pBdr>
        <w:spacing w:after="40"/>
        <w:jc w:val="center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PEAK 10 ENERGY  </w:t>
      </w:r>
      <w:r>
        <w:rPr>
          <w:rFonts w:ascii="Arial" w:cs="Arial" w:eastAsia="Arial" w:hAnsi="Arial"/>
          <w:color w:val="2E75B6"/>
          <w:sz w:val="28"/>
          <w:szCs w:val="28"/>
        </w:rPr>
        <w:t xml:space="preserve">|  Email Filing Quick Reference</w:t>
      </w:r>
    </w:p>
    <w:p>
      <w:pPr>
        <w:spacing w:after="8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Triage Question: </w:t>
      </w:r>
      <w:r>
        <w:rPr>
          <w:rFonts w:ascii="Arial" w:cs="Arial" w:eastAsia="Arial" w:hAnsi="Arial"/>
          <w:i/>
          <w:iCs/>
          <w:sz w:val="18"/>
          <w:szCs w:val="18"/>
        </w:rPr>
        <w:t xml:space="preserve">What do I need to DO with this? → Then: What is this ABOUT?</w:t>
      </w:r>
    </w:p>
    <w:p>
      <w:pPr>
        <w:pStyle w:val="Heading2"/>
      </w:pPr>
      <w:r>
        <w:t xml:space="preserve">Step 1 — Triage (Action-State)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5400"/>
        <w:gridCol w:w="2700"/>
      </w:tblGrid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Folder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When to use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Clear when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⚠ ACTION REQUIRED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I need to respond, decide, or do something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After acting → file to functional folder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⏳ WAITING ON REPLY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Ball is in someone else’s court. I responded or delegated.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When reply arrives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📋 REVIEW / READ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Informational. No response needed. Read when I have time.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After reading → file or archive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📅 MEETING PREP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Context or attachments for an upcoming meeting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After the meeting</w:t>
            </w:r>
          </w:p>
        </w:tc>
      </w:tr>
    </w:tbl>
    <w:p>
      <w:pPr>
        <w:pStyle w:val="Heading2"/>
      </w:pPr>
      <w:r>
        <w:t xml:space="preserve">Step 2 — File (Functional Folder)</w:t>
      </w:r>
    </w:p>
    <w:p>
      <w:pPr>
        <w:spacing w:after="40"/>
      </w:pPr>
      <w:r>
        <w:rPr>
          <w:rFonts w:ascii="Arial" w:cs="Arial" w:eastAsia="Arial" w:hAnsi="Arial"/>
          <w:i/>
          <w:iCs/>
          <w:sz w:val="17"/>
          <w:szCs w:val="17"/>
        </w:rPr>
        <w:t xml:space="preserve">Ask: "What is this fundamentally about?" — not "Who sent it?"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200"/>
        <w:gridCol w:w="36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Folder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What goes here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Not this (goes elsewhere)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01 - Operations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Field ops, production, HSE, daily reports, facilities, equipment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Drilling a NEW well → Engineering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02 - Land &amp; Title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Leasing, minerals, title, DO, DOTO, SUA, ROW, owner relations, tract/lease schedules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Buying a whole asset package → BD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03 - Engineering &amp; Geology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Drilling, completions, reservoir, AFEs, well plans, geology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On-production ops → Operations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04 - BD &amp; Deals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Acquisitions, divestitures, LOIs, PSAs, diligence, screening. Dead Deal moves require approval.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Post-close ops → Operations/Land/Eng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05 - Investors &amp; Capital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Equity, lenders, capital calls, distributions, board, RBL, ABS, bridge loans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Day-to-day banking → Finance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06 - JV &amp; Partners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WI owners, JOA admin, elections, JIBs, partner communications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Investor (equity in P10 co) → Investors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07 - Legal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Attorney correspondence, contracts, litigation, corporate governance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Legal on active deal → BD &gt; [Deal]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08 - Regulatory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RRC, permits, environmental, bonding, state agencies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Regulatory on active deal → BD &gt; [Deal]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09 - Finance &amp; Accounting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JIB + Invoices, Revenue + AP, Accounting, tax, audit, insurance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Raising capital → Investors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10 - People &amp; Admin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HR, IT, office admin, general vendors, recruiting, benefits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Well-specific vendor → Ops or Eng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11 - Industry &amp; External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Associations, conferences, networking, market intel, media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Contact becomes deal → move to BD</w:t>
            </w:r>
          </w:p>
        </w:tc>
      </w:tr>
    </w:tbl>
    <w:p>
      <w:pPr>
        <w:spacing w:before="120"/>
      </w:pPr>
    </w:p>
    <w:p>
      <w:pPr>
        <w:pStyle w:val="Heading2"/>
      </w:pPr>
      <w:r>
        <w:t xml:space="preserve">Key Rules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/>
          <w:bCs/>
          <w:sz w:val="17"/>
          <w:szCs w:val="17"/>
        </w:rPr>
        <w:t xml:space="preserve">One email = one folder. </w:t>
      </w:r>
      <w:r>
        <w:rPr>
          <w:rFonts w:ascii="Arial" w:cs="Arial" w:eastAsia="Arial" w:hAnsi="Arial"/>
          <w:sz w:val="17"/>
          <w:szCs w:val="17"/>
        </w:rPr>
        <w:t xml:space="preserve">Never duplicate. File to where the ACTION lives, not every topic it touches.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/>
          <w:bCs/>
          <w:sz w:val="17"/>
          <w:szCs w:val="17"/>
        </w:rPr>
        <w:t xml:space="preserve">Action-state folders are temporary. </w:t>
      </w:r>
      <w:r>
        <w:rPr>
          <w:rFonts w:ascii="Arial" w:cs="Arial" w:eastAsia="Arial" w:hAnsi="Arial"/>
          <w:sz w:val="17"/>
          <w:szCs w:val="17"/>
        </w:rPr>
        <w:t xml:space="preserve">Nothing stays in ACTION REQUIRED for more than 5 business days.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/>
          <w:bCs/>
          <w:sz w:val="17"/>
          <w:szCs w:val="17"/>
        </w:rPr>
        <w:t xml:space="preserve">When in doubt, file to the higher-stakes folder. </w:t>
      </w:r>
      <w:r>
        <w:rPr>
          <w:rFonts w:ascii="Arial" w:cs="Arial" w:eastAsia="Arial" w:hAnsi="Arial"/>
          <w:sz w:val="17"/>
          <w:szCs w:val="17"/>
        </w:rPr>
        <w:t xml:space="preserve">Deal &gt; Operations &gt; Everything else. Search will still find it.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/>
          <w:bCs/>
          <w:sz w:val="17"/>
          <w:szCs w:val="17"/>
        </w:rPr>
        <w:t xml:space="preserve">Asset/project subfolders are created as needed. </w:t>
      </w:r>
      <w:r>
        <w:rPr>
          <w:rFonts w:ascii="Arial" w:cs="Arial" w:eastAsia="Arial" w:hAnsi="Arial"/>
          <w:sz w:val="17"/>
          <w:szCs w:val="17"/>
        </w:rPr>
        <w:t xml:space="preserve">New well? New deal? Create a subfolder under the relevant parent.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/>
          <w:bCs/>
          <w:sz w:val="17"/>
          <w:szCs w:val="17"/>
        </w:rPr>
        <w:t xml:space="preserve">Archive = same structure, older emails. </w:t>
      </w:r>
      <w:r>
        <w:rPr>
          <w:rFonts w:ascii="Arial" w:cs="Arial" w:eastAsia="Arial" w:hAnsi="Arial"/>
          <w:sz w:val="17"/>
          <w:szCs w:val="17"/>
        </w:rPr>
        <w:t xml:space="preserve">Quarterly, move 90+ day old emails to the matching Archive subfolder.</w:t>
      </w:r>
    </w:p>
    <w:p>
      <w:r>
        <w:br w:type="page"/>
      </w:r>
    </w:p>
    <w:p>
      <w:pPr>
        <w:pBdr>
          <w:bottom w:val="single" w:color="2E75B6" w:sz="6" w:space="6"/>
        </w:pBdr>
        <w:spacing w:after="40"/>
        <w:jc w:val="center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PERSONAL ACCOUNTS  </w:t>
      </w:r>
      <w:r>
        <w:rPr>
          <w:rFonts w:ascii="Arial" w:cs="Arial" w:eastAsia="Arial" w:hAnsi="Arial"/>
          <w:color w:val="2E75B6"/>
          <w:sz w:val="28"/>
          <w:szCs w:val="28"/>
        </w:rPr>
        <w:t xml:space="preserve">|  Filing Quick Reference</w:t>
      </w:r>
    </w:p>
    <w:p>
      <w:pPr>
        <w:spacing w:after="60"/>
      </w:pPr>
      <w:r>
        <w:rPr>
          <w:rFonts w:ascii="Arial" w:cs="Arial" w:eastAsia="Arial" w:hAnsi="Arial"/>
          <w:i/>
          <w:iCs/>
          <w:sz w:val="17"/>
          <w:szCs w:val="17"/>
        </w:rPr>
        <w:t xml:space="preserve">Same structure for both kmcquire@utexas.edu and kdmcquire@gmail.com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78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Folder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What goes here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Financial / Banking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Personal banking, investments, brokerage, credit cards, tax docs, financial planning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Property / Real Estate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Home, HOA, utilities, property management, maintenance, renovations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Education / Alumni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UT Austin, continuing ed, certifications, academic memberships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Health &amp; Wellness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Medical, dental, fitness, prescriptions, health insurance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Travel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Flights, hotels, loyalty programs, itineraries, car rental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Subscriptions &amp; Services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Streaming, software, retail accounts, recurring services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Family &amp; Personal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Family coordination, personal legal, estate planning, charitable giving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Professional / Networking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Non-Peak 10 contacts, advisory boards, LinkedIn, personal brand</w:t>
            </w:r>
          </w:p>
        </w:tc>
      </w:tr>
    </w:tbl>
    <w:p>
      <w:pPr>
        <w:spacing w:before="200"/>
      </w:pPr>
    </w:p>
    <w:p>
      <w:pPr>
        <w:pStyle w:val="Heading2"/>
      </w:pPr>
      <w:r>
        <w:t xml:space="preserve">Personal Account Rules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17"/>
          <w:szCs w:val="17"/>
        </w:rPr>
        <w:t xml:space="preserve">Any Peak 10 business email in a personal account → forward to Peak 10 account and file there.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17"/>
          <w:szCs w:val="17"/>
        </w:rPr>
        <w:t xml:space="preserve">utexas.edu is being wound down. No new outbound correspondence from this address.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17"/>
          <w:szCs w:val="17"/>
        </w:rPr>
        <w:t xml:space="preserve">kdmcquire@gmail.com becomes the sole personal email after migration.</w:t>
      </w:r>
    </w:p>
    <w:sectPr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120" w:after="80"/>
      <w:outlineLvl w:val="0"/>
    </w:pPr>
    <w:rPr>
      <w:rFonts w:ascii="Arial" w:cs="Arial" w:eastAsia="Arial" w:hAnsi="Arial"/>
      <w:b/>
      <w:bCs/>
      <w:color w:val="1B2A4A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100" w:after="60"/>
      <w:outlineLvl w:val="1"/>
    </w:pPr>
    <w:rPr>
      <w:rFonts w:ascii="Arial" w:cs="Arial" w:eastAsia="Arial" w:hAnsi="Arial"/>
      <w:b/>
      <w:bCs/>
      <w:color w:val="2E75B6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2026-02-26T09:24:52.790Z</dcterms:created>
  <dcterms:modified xsi:type="dcterms:W3CDTF">2026-02-26T09:24:52.791Z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