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80"/>
        <w:jc w:val="center"/>
      </w:pPr>
      <w:r>
        <w:rPr>
          <w:rFonts w:ascii="Arial" w:cs="Arial" w:eastAsia="Arial" w:hAnsi="Arial"/>
          <w:b/>
          <w:bCs/>
          <w:color w:val="1B2A4A"/>
          <w:sz w:val="48"/>
          <w:szCs w:val="48"/>
        </w:rPr>
        <w:t xml:space="preserve">FOLDER ARCHITECTURE</w:t>
      </w:r>
    </w:p>
    <w:p>
      <w:pPr>
        <w:spacing w:after="40"/>
        <w:jc w:val="center"/>
      </w:pPr>
      <w:r>
        <w:rPr>
          <w:rFonts w:ascii="Arial" w:cs="Arial" w:eastAsia="Arial" w:hAnsi="Arial"/>
          <w:color w:val="2E75B6"/>
          <w:sz w:val="32"/>
          <w:szCs w:val="32"/>
        </w:rPr>
        <w:t xml:space="preserve">&amp; Filing Reference Guide</w:t>
      </w:r>
    </w:p>
    <w:p>
      <w:pPr>
        <w:spacing w:after="200"/>
      </w:pPr>
    </w:p>
    <w:p>
      <w:pPr>
        <w:pBdr>
          <w:top w:val="single" w:color="2E75B6" w:sz="4" w:space="8"/>
          <w:bottom w:val="single" w:color="2E75B6" w:sz="4" w:space="8"/>
        </w:pBdr>
        <w:spacing w:before="200" w:after="200"/>
        <w:jc w:val="center"/>
      </w:pPr>
      <w:r>
        <w:rPr>
          <w:rFonts w:ascii="Arial" w:cs="Arial" w:eastAsia="Arial" w:hAnsi="Arial"/>
          <w:b/>
          <w:bCs/>
          <w:color w:val="1B2A4A"/>
          <w:sz w:val="24"/>
          <w:szCs w:val="24"/>
        </w:rPr>
        <w:t xml:space="preserve">VERSION 1.1 — UPDATED PER CEO FEEDBACK</w:t>
      </w:r>
    </w:p>
    <w:p>
      <w:pPr>
        <w:spacing w:after="200"/>
      </w:pPr>
    </w:p>
    <w:p>
      <w:pPr>
        <w:jc w:val="center"/>
      </w:pPr>
      <w:r>
        <w:rPr>
          <w:rFonts w:ascii="Arial" w:cs="Arial" w:eastAsia="Arial" w:hAnsi="Arial"/>
          <w:color w:val="555555"/>
          <w:sz w:val="22"/>
          <w:szCs w:val="22"/>
        </w:rPr>
        <w:t xml:space="preserve">Prepared for K. McQuire, CEO  |  February 2026</w:t>
      </w:r>
    </w:p>
    <w:p>
      <w:pPr>
        <w:spacing w:after="200"/>
      </w:pPr>
    </w:p>
    <w:p>
      <w:pPr>
        <w:pStyle w:val="Heading2"/>
      </w:pPr>
      <w:r>
        <w:t xml:space="preserve">Change Log — v1.0 to v1.1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72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02 - Land &amp; Title</w:t>
            </w:r>
          </w:p>
        </w:tc>
        <w:tc>
          <w:tcPr>
            <w:tcW w:type="dxa" w:w="72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Added SUA, ROW, owner relations, tract/lease schedules to prospect subfolder scope. Added DOTO subfolder. Added keywords: DOTO, tract schedule, lease schedule, DO.</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03 - Engineering &amp; Geology</w:t>
            </w:r>
          </w:p>
        </w:tc>
        <w:tc>
          <w:tcPr>
            <w:tcW w:type="dxa" w:w="72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Clarified dynamic subfolder behavior: system detects new projects and requests user confirmation before creating. Added Dynamic Subfolders section.</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04 - BD &amp; Deals</w:t>
            </w:r>
          </w:p>
        </w:tc>
        <w:tc>
          <w:tcPr>
            <w:tcW w:type="dxa" w:w="72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Added Dead Deal lifecycle intelligence: explicit approval required to move deals to/from Dead Deals. Added Deal Lifecycle Intelligence section.</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05 - Investors &amp; Capital</w:t>
            </w:r>
          </w:p>
        </w:tc>
        <w:tc>
          <w:tcPr>
            <w:tcW w:type="dxa" w:w="72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Added keywords: RBL, ABS, warehouse facility, bridge loan. Updated description.</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09 - Finance &amp; Accounting</w:t>
            </w:r>
          </w:p>
        </w:tc>
        <w:tc>
          <w:tcPr>
            <w:tcW w:type="dxa" w:w="72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Restructured subfolders: Revenue &amp; Accounting split into JIB + Invoices, Revenue + AP, and Accounting as three separate subfolders.</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NEW SECTION</w:t>
            </w:r>
          </w:p>
        </w:tc>
        <w:tc>
          <w:tcPr>
            <w:tcW w:type="dxa" w:w="72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Dynamic Subfolders — how the system detects and creates new project/asset subfolders with user confirmation.</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NEW SECTION</w:t>
            </w:r>
          </w:p>
        </w:tc>
        <w:tc>
          <w:tcPr>
            <w:tcW w:type="dxa" w:w="72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Deal Lifecycle Intelligence — how the system manages Dead Deal transitions bidirectionally.</w:t>
            </w:r>
          </w:p>
        </w:tc>
      </w:tr>
    </w:tbl>
    <w:p>
      <w:pPr>
        <w:spacing w:after="200"/>
      </w:pPr>
    </w:p>
    <w:p>
      <w:pPr>
        <w:spacing w:after="120"/>
      </w:pPr>
      <w:r>
        <w:rPr>
          <w:rFonts w:ascii="Arial" w:cs="Arial" w:eastAsia="Arial" w:hAnsi="Arial"/>
          <w:i/>
          <w:iCs/>
          <w:color w:val="B8860B"/>
          <w:sz w:val="22"/>
          <w:szCs w:val="22"/>
        </w:rPr>
        <w:t xml:space="preserve">Updated sections are marked with ✏️ throughout this document.</w:t>
      </w:r>
    </w:p>
    <w:p>
      <w:r>
        <w:br w:type="page"/>
      </w:r>
    </w:p>
    <w:p>
      <w:pPr>
        <w:pStyle w:val="Heading1"/>
      </w:pPr>
      <w:r>
        <w:t xml:space="preserve">Peak 10 Energy Account</w:t>
      </w:r>
    </w:p>
    <w:p>
      <w:pPr>
        <w:spacing w:after="120"/>
      </w:pPr>
      <w:r>
        <w:rPr>
          <w:rFonts w:ascii="Arial" w:cs="Arial" w:eastAsia="Arial" w:hAnsi="Arial"/>
          <w:sz w:val="22"/>
          <w:szCs w:val="22"/>
        </w:rPr>
        <w:t xml:space="preserve">This account carries ~57,000 emails and is the most complex. The structure has two layers: Action-State folders for daily triage, and Functional folders for permanent filing.</w:t>
      </w:r>
    </w:p>
    <w:p>
      <w:pPr>
        <w:spacing w:after="200"/>
      </w:pPr>
    </w:p>
    <w:p>
      <w:pPr>
        <w:pStyle w:val="Heading2"/>
      </w:pPr>
      <w:r>
        <w:t xml:space="preserve">Action-State Folders (Triage Layer)</w:t>
      </w:r>
    </w:p>
    <w:p>
      <w:pPr>
        <w:spacing w:after="120"/>
      </w:pPr>
      <w:r>
        <w:rPr>
          <w:rFonts w:ascii="Arial" w:cs="Arial" w:eastAsia="Arial" w:hAnsi="Arial"/>
          <w:sz w:val="22"/>
          <w:szCs w:val="22"/>
        </w:rPr>
        <w:t xml:space="preserve">These folders sit at the top of your folder list (the emoji prefixes keep them sorted above the numbered functional folders). Emails live here temporarily. They represent what you need to DO, not what the email is ABOUT.</w:t>
      </w:r>
    </w:p>
    <w:p>
      <w:pPr>
        <w:spacing w:after="200"/>
      </w:pPr>
    </w:p>
    <w:p>
      <w:pPr>
        <w:pStyle w:val="Heading3"/>
      </w:pPr>
      <w:r>
        <w:t xml:space="preserve">⚠ ACTION REQUIRED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8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Purpose</w:t>
            </w:r>
          </w:p>
        </w:tc>
        <w:tc>
          <w:tcPr>
            <w:tcW w:type="dxa" w:w="7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Emails requiring your direct response, decision, or action. This is your daily working queue.</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How emails get here</w:t>
            </w:r>
          </w:p>
        </w:tc>
        <w:tc>
          <w:tcPr>
            <w:tcW w:type="dxa" w:w="7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During morning and midday triage, move emails here that need you. After acting, file to the appropriate functional folder.</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Retention rule</w:t>
            </w:r>
          </w:p>
        </w:tc>
        <w:tc>
          <w:tcPr>
            <w:tcW w:type="dxa" w:w="7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Nothing stays here longer than 5 business days. If it does, either act on it, delegate it, or consciously decide not to respond and file it.</w:t>
            </w:r>
          </w:p>
        </w:tc>
      </w:tr>
    </w:tbl>
    <w:p>
      <w:pPr>
        <w:spacing w:after="200"/>
      </w:pPr>
    </w:p>
    <w:p>
      <w:pPr>
        <w:pStyle w:val="Heading3"/>
      </w:pPr>
      <w:r>
        <w:t xml:space="preserve">⏳ WAITING ON REPLY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8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Purpose</w:t>
            </w:r>
          </w:p>
        </w:tc>
        <w:tc>
          <w:tcPr>
            <w:tcW w:type="dxa" w:w="7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Emails you’ve sent or delegated where you are waiting for a response. Also: emails where you responded and the ball is in someone else’s court.</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How emails get here</w:t>
            </w:r>
          </w:p>
        </w:tc>
        <w:tc>
          <w:tcPr>
            <w:tcW w:type="dxa" w:w="7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Move here after you respond to something that requires a follow-up from the other party. The reminder app will also auto-populate this.</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Retention rule</w:t>
            </w:r>
          </w:p>
        </w:tc>
        <w:tc>
          <w:tcPr>
            <w:tcW w:type="dxa" w:w="7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Cleared automatically when a reply arrives. Weekly sweep to remove stale items.</w:t>
            </w:r>
          </w:p>
        </w:tc>
      </w:tr>
    </w:tbl>
    <w:p>
      <w:pPr>
        <w:spacing w:after="200"/>
      </w:pPr>
    </w:p>
    <w:p>
      <w:pPr>
        <w:pStyle w:val="Heading3"/>
      </w:pPr>
      <w:r>
        <w:t xml:space="preserve">📋 REVIEW / READ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8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Purpose</w:t>
            </w:r>
          </w:p>
        </w:tc>
        <w:tc>
          <w:tcPr>
            <w:tcW w:type="dxa" w:w="7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Emails that are informational — you should read them, but they don’t require a response. Industry newsletters, internal reports, market updates, automated notifications.</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How emails get here</w:t>
            </w:r>
          </w:p>
        </w:tc>
        <w:tc>
          <w:tcPr>
            <w:tcW w:type="dxa" w:w="7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Auto-filed by rules for known newsletter/report senders. Manual filing during triage for one-off informational emails.</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Retention rule</w:t>
            </w:r>
          </w:p>
        </w:tc>
        <w:tc>
          <w:tcPr>
            <w:tcW w:type="dxa" w:w="7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Process during scheduled review blocks (Friday afternoon recommended). After reading, file to functional folder or archive.</w:t>
            </w:r>
          </w:p>
        </w:tc>
      </w:tr>
    </w:tbl>
    <w:p>
      <w:pPr>
        <w:spacing w:after="200"/>
      </w:pPr>
    </w:p>
    <w:p>
      <w:pPr>
        <w:pStyle w:val="Heading3"/>
      </w:pPr>
      <w:r>
        <w:t xml:space="preserve">📅 MEETING PREP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8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Purpose</w:t>
            </w:r>
          </w:p>
        </w:tc>
        <w:tc>
          <w:tcPr>
            <w:tcW w:type="dxa" w:w="7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Emails containing context, attachments, or discussions relevant to upcoming meetings. Pull these before your meetings to be prepared.</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How emails get here</w:t>
            </w:r>
          </w:p>
        </w:tc>
        <w:tc>
          <w:tcPr>
            <w:tcW w:type="dxa" w:w="7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Move here when you identify an email that’s relevant to a meeting coming up in the next 1–2 weeks.</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Retention rule</w:t>
            </w:r>
          </w:p>
        </w:tc>
        <w:tc>
          <w:tcPr>
            <w:tcW w:type="dxa" w:w="7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Clear after the meeting. File contents to the relevant functional folder.</w:t>
            </w:r>
          </w:p>
        </w:tc>
      </w:tr>
    </w:tbl>
    <w:p>
      <w:pPr>
        <w:spacing w:after="200"/>
      </w:pPr>
    </w:p>
    <w:p>
      <w:r>
        <w:br w:type="page"/>
      </w:r>
    </w:p>
    <w:p>
      <w:pPr>
        <w:pStyle w:val="Heading2"/>
      </w:pPr>
      <w:r>
        <w:t xml:space="preserve">Functional Folders (Permanent Filing)</w:t>
      </w:r>
    </w:p>
    <w:p>
      <w:pPr>
        <w:spacing w:after="120"/>
      </w:pPr>
      <w:r>
        <w:rPr>
          <w:rFonts w:ascii="Arial" w:cs="Arial" w:eastAsia="Arial" w:hAnsi="Arial"/>
          <w:sz w:val="22"/>
          <w:szCs w:val="22"/>
        </w:rPr>
        <w:t xml:space="preserve">These are the permanent homes for filed emails. Numbered 01–11 to enforce consistent sort order across desktop and mobile Outlook. Each folder has defined subfolders and a clear filing boundary.</w:t>
      </w:r>
    </w:p>
    <w:p>
      <w:pPr>
        <w:spacing w:after="200"/>
      </w:pPr>
    </w:p>
    <w:p>
      <w:pPr>
        <w:spacing w:after="120"/>
      </w:pPr>
      <w:r>
        <w:rPr>
          <w:rFonts w:ascii="Arial" w:cs="Arial" w:eastAsia="Arial" w:hAnsi="Arial"/>
          <w:b/>
          <w:bCs/>
          <w:sz w:val="22"/>
          <w:szCs w:val="22"/>
        </w:rPr>
        <w:t xml:space="preserve">Key principle: </w:t>
      </w:r>
      <w:r>
        <w:rPr>
          <w:rFonts w:ascii="Arial" w:cs="Arial" w:eastAsia="Arial" w:hAnsi="Arial"/>
          <w:sz w:val="22"/>
          <w:szCs w:val="22"/>
        </w:rPr>
        <w:t xml:space="preserve">When you’re deciding where to file an email, ask “what is this email fundamentally about?” not “who sent it?” The answer should point to exactly one folder.</w:t>
      </w:r>
    </w:p>
    <w:p>
      <w:pPr>
        <w:spacing w:after="200"/>
      </w:pPr>
    </w:p>
    <w:p>
      <w:pPr>
        <w:pStyle w:val="Heading3"/>
      </w:pPr>
      <w:r>
        <w:t xml:space="preserve">01 - Operations</w:t>
      </w:r>
    </w:p>
    <w:p>
      <w:pPr>
        <w:spacing w:after="120"/>
      </w:pPr>
      <w:r>
        <w:rPr>
          <w:rFonts w:ascii="Arial" w:cs="Arial" w:eastAsia="Arial" w:hAnsi="Arial"/>
          <w:sz w:val="22"/>
          <w:szCs w:val="22"/>
        </w:rPr>
        <w:t xml:space="preserve">All field operations, production, HSE, daily reports, well status, equipment, facilities, midstream/gathering, water disposal, trucking, and day-to-day operational matters.</w:t>
      </w:r>
    </w:p>
    <w:p>
      <w:pPr>
        <w:spacing w:after="200"/>
      </w:pPr>
    </w:p>
    <w:p>
      <w:pPr>
        <w:spacing w:after="120"/>
      </w:pPr>
      <w:r>
        <w:rPr>
          <w:rFonts w:ascii="Arial" w:cs="Arial" w:eastAsia="Arial" w:hAnsi="Arial"/>
          <w:b/>
          <w:bCs/>
          <w:sz w:val="22"/>
          <w:szCs w:val="22"/>
        </w:rPr>
        <w:t xml:space="preserve">Subfolders:</w:t>
      </w:r>
    </w:p>
    <w:p>
      <w:pPr>
        <w:pStyle w:val="ListParagraph"/>
        <w:numPr>
          <w:ilvl w:val="0"/>
          <w:numId w:val="2"/>
        </w:numPr>
        <w:spacing w:after="80"/>
      </w:pPr>
      <w:r>
        <w:rPr>
          <w:rFonts w:ascii="Arial" w:cs="Arial" w:eastAsia="Arial" w:hAnsi="Arial"/>
          <w:sz w:val="22"/>
          <w:szCs w:val="22"/>
        </w:rPr>
        <w:t xml:space="preserve">[Asset/Field Name] (created on confirmation — see Dynamic Subfolders below)</w:t>
      </w:r>
    </w:p>
    <w:p>
      <w:pPr>
        <w:pStyle w:val="ListParagraph"/>
        <w:numPr>
          <w:ilvl w:val="0"/>
          <w:numId w:val="2"/>
        </w:numPr>
        <w:spacing w:after="80"/>
      </w:pPr>
      <w:r>
        <w:rPr>
          <w:rFonts w:ascii="Arial" w:cs="Arial" w:eastAsia="Arial" w:hAnsi="Arial"/>
          <w:sz w:val="22"/>
          <w:szCs w:val="22"/>
        </w:rPr>
        <w:t xml:space="preserve">HSE</w:t>
      </w:r>
    </w:p>
    <w:p>
      <w:pPr>
        <w:pStyle w:val="ListParagraph"/>
        <w:numPr>
          <w:ilvl w:val="0"/>
          <w:numId w:val="2"/>
        </w:numPr>
        <w:spacing w:after="80"/>
      </w:pPr>
      <w:r>
        <w:rPr>
          <w:rFonts w:ascii="Arial" w:cs="Arial" w:eastAsia="Arial" w:hAnsi="Arial"/>
          <w:sz w:val="22"/>
          <w:szCs w:val="22"/>
        </w:rPr>
        <w:t xml:space="preserve">Production Reports</w:t>
      </w:r>
    </w:p>
    <w:p>
      <w:pPr>
        <w:pStyle w:val="ListParagraph"/>
        <w:numPr>
          <w:ilvl w:val="0"/>
          <w:numId w:val="2"/>
        </w:numPr>
        <w:spacing w:after="80"/>
      </w:pPr>
      <w:r>
        <w:rPr>
          <w:rFonts w:ascii="Arial" w:cs="Arial" w:eastAsia="Arial" w:hAnsi="Arial"/>
          <w:sz w:val="22"/>
          <w:szCs w:val="22"/>
        </w:rPr>
        <w:t xml:space="preserve">Facilities &amp; Equipment</w:t>
      </w:r>
    </w:p>
    <w:p>
      <w:pPr>
        <w:spacing w:after="200"/>
      </w:pPr>
    </w:p>
    <w:p>
      <w:pPr>
        <w:spacing w:after="120"/>
      </w:pPr>
      <w:r>
        <w:rPr>
          <w:rFonts w:ascii="Arial" w:cs="Arial" w:eastAsia="Arial" w:hAnsi="Arial"/>
          <w:b/>
          <w:bCs/>
          <w:sz w:val="22"/>
          <w:szCs w:val="22"/>
        </w:rPr>
        <w:t xml:space="preserve">Filing Rule: </w:t>
      </w:r>
      <w:r>
        <w:rPr>
          <w:rFonts w:ascii="Arial" w:cs="Arial" w:eastAsia="Arial" w:hAnsi="Arial"/>
          <w:sz w:val="22"/>
          <w:szCs w:val="22"/>
        </w:rPr>
        <w:t xml:space="preserve">Any email about what’s happening in the field today. If it’s about running the wells, maintaining equipment, reporting production, or keeping people safe, it goes here. If it’s about drilling a NEW well, it goes in Engineering. If it’s about buying or selling the asset, it goes in Business Development.</w:t>
      </w:r>
    </w:p>
    <w:p>
      <w:pPr>
        <w:spacing w:after="200"/>
      </w:pPr>
    </w:p>
    <w:p>
      <w:pPr>
        <w:spacing w:after="120"/>
      </w:pPr>
      <w:r>
        <w:rPr>
          <w:rFonts w:ascii="Arial" w:cs="Arial" w:eastAsia="Arial" w:hAnsi="Arial"/>
          <w:b/>
          <w:bCs/>
          <w:i/>
          <w:iCs/>
          <w:color w:val="555555"/>
          <w:sz w:val="20"/>
          <w:szCs w:val="20"/>
        </w:rPr>
        <w:t xml:space="preserve">Classification Keywords: </w:t>
      </w:r>
    </w:p>
    <w:p>
      <w:pPr>
        <w:spacing w:after="120"/>
      </w:pPr>
      <w:r>
        <w:rPr>
          <w:rFonts w:ascii="Arial" w:cs="Arial" w:eastAsia="Arial" w:hAnsi="Arial"/>
          <w:sz w:val="22"/>
          <w:szCs w:val="22"/>
        </w:rPr>
        <w:t xml:space="default">production, BOPD, MCFD, water cut, downtime, workover, pump, rod, tubing, casing, flowback, facility, tank battery, compressor, pipeline, spill, incident, HSE, safety, injection, disposal, trucking, gauger, pumper, field report, daily report</w:t>
      </w:r>
    </w:p>
    <w:p>
      <w:pPr>
        <w:spacing w:after="200"/>
      </w:pPr>
    </w:p>
    <w:p>
      <w:pPr>
        <w:pBdr>
          <w:bottom w:val="single" w:color="B4C6D9" w:sz="2" w:space="4"/>
        </w:pBdr>
        <w:spacing w:after="200"/>
      </w:pPr>
    </w:p>
    <w:p>
      <w:pPr>
        <w:pStyle w:val="Heading3"/>
      </w:pPr>
      <w:r>
        <w:t xml:space="preserve">02 - Land &amp; Title</w:t>
      </w:r>
    </w:p>
    <w:p>
      <w:pPr>
        <w:shd w:fill="FFF8E1" w:val="clear"/>
        <w:spacing w:before="80" w:after="80"/>
      </w:pPr>
      <w:r>
        <w:rPr>
          <w:rFonts w:ascii="Arial" w:cs="Arial" w:eastAsia="Arial" w:hAnsi="Arial"/>
          <w:b/>
          <w:bCs/>
          <w:color w:val="B8860B"/>
          <w:sz w:val="20"/>
          <w:szCs w:val="20"/>
        </w:rPr>
        <w:t xml:space="preserve">✏️ UPDATED: </w:t>
      </w:r>
      <w:r>
        <w:rPr>
          <w:rFonts w:ascii="Arial" w:cs="Arial" w:eastAsia="Arial" w:hAnsi="Arial"/>
          <w:color w:val="5D4037"/>
          <w:sz w:val="20"/>
          <w:szCs w:val="20"/>
        </w:rPr>
        <w:t xml:space="preserve">Added SUA, ROW, owner relations, tract/lease schedules to description. Added DOTO subfolder. Clarified that prospect subfolders contain ALL prospect-specific materials. Added keywords: DOTO, tract schedule, lease schedule, DO.</w:t>
      </w:r>
    </w:p>
    <w:p>
      <w:pPr>
        <w:spacing w:after="120"/>
      </w:pPr>
      <w:r>
        <w:rPr>
          <w:rFonts w:ascii="Arial" w:cs="Arial" w:eastAsia="Arial" w:hAnsi="Arial"/>
          <w:sz w:val="22"/>
          <w:szCs w:val="22"/>
        </w:rPr>
        <w:t xml:space="preserve">Leasing, mineral acquisitions, surface use agreements (SUA), right-of-way (ROW), owner relations, title opinions, curative, division orders, pooling/unitization, landman correspondence, tract schedules, lease schedules.</w:t>
      </w:r>
    </w:p>
    <w:p>
      <w:pPr>
        <w:spacing w:after="200"/>
      </w:pPr>
    </w:p>
    <w:p>
      <w:pPr>
        <w:spacing w:after="120"/>
      </w:pPr>
      <w:r>
        <w:rPr>
          <w:rFonts w:ascii="Arial" w:cs="Arial" w:eastAsia="Arial" w:hAnsi="Arial"/>
          <w:b/>
          <w:bCs/>
          <w:sz w:val="22"/>
          <w:szCs w:val="22"/>
        </w:rPr>
        <w:t xml:space="preserve">Subfolders:</w:t>
      </w:r>
    </w:p>
    <w:p>
      <w:pPr>
        <w:pStyle w:val="ListParagraph"/>
        <w:numPr>
          <w:ilvl w:val="0"/>
          <w:numId w:val="2"/>
        </w:numPr>
        <w:spacing w:after="80"/>
      </w:pPr>
      <w:r>
        <w:rPr>
          <w:rFonts w:ascii="Arial" w:cs="Arial" w:eastAsia="Arial" w:hAnsi="Arial"/>
          <w:sz w:val="22"/>
          <w:szCs w:val="22"/>
        </w:rPr>
        <w:t xml:space="preserve">[Prospect/Area Name] (created on confirmation — includes all prospect-specific items: SUA, ROW, owner relations, tract schedules, lease schedules, lease files)</w:t>
      </w:r>
    </w:p>
    <w:p>
      <w:pPr>
        <w:pStyle w:val="ListParagraph"/>
        <w:numPr>
          <w:ilvl w:val="0"/>
          <w:numId w:val="2"/>
        </w:numPr>
        <w:spacing w:after="80"/>
      </w:pPr>
      <w:r>
        <w:rPr>
          <w:rFonts w:ascii="Arial" w:cs="Arial" w:eastAsia="Arial" w:hAnsi="Arial"/>
          <w:sz w:val="22"/>
          <w:szCs w:val="22"/>
        </w:rPr>
        <w:t xml:space="preserve">Title Opinions (cross-prospect or unassigned)</w:t>
      </w:r>
    </w:p>
    <w:p>
      <w:pPr>
        <w:pStyle w:val="ListParagraph"/>
        <w:numPr>
          <w:ilvl w:val="0"/>
          <w:numId w:val="2"/>
        </w:numPr>
        <w:spacing w:after="80"/>
      </w:pPr>
      <w:r>
        <w:rPr>
          <w:rFonts w:ascii="Arial" w:cs="Arial" w:eastAsia="Arial" w:hAnsi="Arial"/>
          <w:sz w:val="22"/>
          <w:szCs w:val="22"/>
        </w:rPr>
        <w:t xml:space="preserve">Division Orders (cross-prospect or unassigned)</w:t>
      </w:r>
    </w:p>
    <w:p>
      <w:pPr>
        <w:pStyle w:val="ListParagraph"/>
        <w:numPr>
          <w:ilvl w:val="0"/>
          <w:numId w:val="2"/>
        </w:numPr>
        <w:spacing w:after="80"/>
      </w:pPr>
      <w:r>
        <w:rPr>
          <w:rFonts w:ascii="Arial" w:cs="Arial" w:eastAsia="Arial" w:hAnsi="Arial"/>
          <w:sz w:val="22"/>
          <w:szCs w:val="22"/>
        </w:rPr>
        <w:t xml:space="preserve">Curative (cross-prospect or unassigned)</w:t>
      </w:r>
    </w:p>
    <w:p>
      <w:pPr>
        <w:pStyle w:val="ListParagraph"/>
        <w:numPr>
          <w:ilvl w:val="0"/>
          <w:numId w:val="2"/>
        </w:numPr>
        <w:spacing w:after="80"/>
      </w:pPr>
      <w:r>
        <w:rPr>
          <w:rFonts w:ascii="Arial" w:cs="Arial" w:eastAsia="Arial" w:hAnsi="Arial"/>
          <w:sz w:val="22"/>
          <w:szCs w:val="22"/>
        </w:rPr>
        <w:t xml:space="preserve">DOTO (Deeds of Trust / Owner documentation)</w:t>
      </w:r>
    </w:p>
    <w:p>
      <w:pPr>
        <w:spacing w:after="200"/>
      </w:pPr>
    </w:p>
    <w:p>
      <w:pPr>
        <w:spacing w:after="120"/>
      </w:pPr>
      <w:r>
        <w:rPr>
          <w:rFonts w:ascii="Arial" w:cs="Arial" w:eastAsia="Arial" w:hAnsi="Arial"/>
          <w:b/>
          <w:bCs/>
          <w:sz w:val="22"/>
          <w:szCs w:val="22"/>
        </w:rPr>
        <w:t xml:space="preserve">Filing Rule: </w:t>
      </w:r>
      <w:r>
        <w:rPr>
          <w:rFonts w:ascii="Arial" w:cs="Arial" w:eastAsia="Arial" w:hAnsi="Arial"/>
          <w:sz w:val="22"/>
          <w:szCs w:val="22"/>
        </w:rPr>
        <w:t xml:space="preserve">Anything about acquiring or maintaining mineral/surface rights, who owns what, and making sure your revenue goes to the right people. When a prospect subfolder exists, ALL related materials go there: SUA, ROW, owner correspondence, tract schedules, lease schedules, and individual lease files. The standalone subfolders (Title Opinions, Division Orders, Curative, DOTO) are only for items that are cross-prospect or not yet tied to a specific area. If the email is about a deal to buy an entire asset package (not just lease new acreage), it goes in Business Development.</w:t>
      </w:r>
    </w:p>
    <w:p>
      <w:pPr>
        <w:spacing w:after="200"/>
      </w:pPr>
    </w:p>
    <w:p>
      <w:pPr>
        <w:spacing w:after="120"/>
      </w:pPr>
      <w:r>
        <w:rPr>
          <w:rFonts w:ascii="Arial" w:cs="Arial" w:eastAsia="Arial" w:hAnsi="Arial"/>
          <w:b/>
          <w:bCs/>
          <w:i/>
          <w:iCs/>
          <w:color w:val="555555"/>
          <w:sz w:val="20"/>
          <w:szCs w:val="20"/>
        </w:rPr>
        <w:t xml:space="preserve">Classification Keywords: </w:t>
      </w:r>
    </w:p>
    <w:p>
      <w:pPr>
        <w:spacing w:after="120"/>
      </w:pPr>
      <w:r>
        <w:rPr>
          <w:rFonts w:ascii="Arial" w:cs="Arial" w:eastAsia="Arial" w:hAnsi="Arial"/>
          <w:sz w:val="22"/>
          <w:szCs w:val="22"/>
        </w:rPr>
        <w:t xml:space="default">lease, mineral, royalty, surface use, SUA, right of way, ROW, title, curative, division order, DO, DOTO, pooling, unitization, landman, abstract, runsheet, county, recording, HBP, bonus, rental, shut-in, top lease, farmout, tract schedule, lease schedule, owner relations, mineral owner, surface owner</w:t>
      </w:r>
    </w:p>
    <w:p>
      <w:pPr>
        <w:spacing w:after="200"/>
      </w:pPr>
    </w:p>
    <w:p>
      <w:pPr>
        <w:pBdr>
          <w:bottom w:val="single" w:color="B4C6D9" w:sz="2" w:space="4"/>
        </w:pBdr>
        <w:spacing w:after="200"/>
      </w:pPr>
    </w:p>
    <w:p>
      <w:pPr>
        <w:pStyle w:val="Heading3"/>
      </w:pPr>
      <w:r>
        <w:t xml:space="preserve">03 - Engineering &amp; Geology</w:t>
      </w:r>
    </w:p>
    <w:p>
      <w:pPr>
        <w:shd w:fill="FFF8E1" w:val="clear"/>
        <w:spacing w:before="80" w:after="80"/>
      </w:pPr>
      <w:r>
        <w:rPr>
          <w:rFonts w:ascii="Arial" w:cs="Arial" w:eastAsia="Arial" w:hAnsi="Arial"/>
          <w:b/>
          <w:bCs/>
          <w:color w:val="B8860B"/>
          <w:sz w:val="20"/>
          <w:szCs w:val="20"/>
        </w:rPr>
        <w:t xml:space="preserve">✏️ UPDATED: </w:t>
      </w:r>
      <w:r>
        <w:rPr>
          <w:rFonts w:ascii="Arial" w:cs="Arial" w:eastAsia="Arial" w:hAnsi="Arial"/>
          <w:color w:val="5D4037"/>
          <w:sz w:val="20"/>
          <w:szCs w:val="20"/>
        </w:rPr>
        <w:t xml:space="preserve">Clarified dynamic subfolder behavior: the system detects new project names and requests your confirmation before creating a subfolder. No folder is ever auto-created. See Dynamic Subfolders section below.</w:t>
      </w:r>
    </w:p>
    <w:p>
      <w:pPr>
        <w:spacing w:after="120"/>
      </w:pPr>
      <w:r>
        <w:rPr>
          <w:rFonts w:ascii="Arial" w:cs="Arial" w:eastAsia="Arial" w:hAnsi="Arial"/>
          <w:sz w:val="22"/>
          <w:szCs w:val="22"/>
        </w:rPr>
        <w:t xml:space="preserve">Drilling programs, completions design, reservoir engineering, geological interpretations, well planning, AFEs, type curves, decline analysis, geophysical, seismic.</w:t>
      </w:r>
    </w:p>
    <w:p>
      <w:pPr>
        <w:spacing w:after="200"/>
      </w:pPr>
    </w:p>
    <w:p>
      <w:pPr>
        <w:spacing w:after="120"/>
      </w:pPr>
      <w:r>
        <w:rPr>
          <w:rFonts w:ascii="Arial" w:cs="Arial" w:eastAsia="Arial" w:hAnsi="Arial"/>
          <w:b/>
          <w:bCs/>
          <w:sz w:val="22"/>
          <w:szCs w:val="22"/>
        </w:rPr>
        <w:t xml:space="preserve">Subfolders:</w:t>
      </w:r>
    </w:p>
    <w:p>
      <w:pPr>
        <w:pStyle w:val="ListParagraph"/>
        <w:numPr>
          <w:ilvl w:val="0"/>
          <w:numId w:val="2"/>
        </w:numPr>
        <w:spacing w:after="80"/>
      </w:pPr>
      <w:r>
        <w:rPr>
          <w:rFonts w:ascii="Arial" w:cs="Arial" w:eastAsia="Arial" w:hAnsi="Arial"/>
          <w:sz w:val="22"/>
          <w:szCs w:val="22"/>
        </w:rPr>
        <w:t xml:space="preserve">[Well Name / Project] (created on confirmation — see Dynamic Subfolders below)</w:t>
      </w:r>
    </w:p>
    <w:p>
      <w:pPr>
        <w:pStyle w:val="ListParagraph"/>
        <w:numPr>
          <w:ilvl w:val="0"/>
          <w:numId w:val="2"/>
        </w:numPr>
        <w:spacing w:after="80"/>
      </w:pPr>
      <w:r>
        <w:rPr>
          <w:rFonts w:ascii="Arial" w:cs="Arial" w:eastAsia="Arial" w:hAnsi="Arial"/>
          <w:sz w:val="22"/>
          <w:szCs w:val="22"/>
        </w:rPr>
        <w:t xml:space="preserve">AFEs</w:t>
      </w:r>
    </w:p>
    <w:p>
      <w:pPr>
        <w:pStyle w:val="ListParagraph"/>
        <w:numPr>
          <w:ilvl w:val="0"/>
          <w:numId w:val="2"/>
        </w:numPr>
        <w:spacing w:after="80"/>
      </w:pPr>
      <w:r>
        <w:rPr>
          <w:rFonts w:ascii="Arial" w:cs="Arial" w:eastAsia="Arial" w:hAnsi="Arial"/>
          <w:sz w:val="22"/>
          <w:szCs w:val="22"/>
        </w:rPr>
        <w:t xml:space="preserve">Well Plans</w:t>
      </w:r>
    </w:p>
    <w:p>
      <w:pPr>
        <w:pStyle w:val="ListParagraph"/>
        <w:numPr>
          <w:ilvl w:val="0"/>
          <w:numId w:val="2"/>
        </w:numPr>
        <w:spacing w:after="80"/>
      </w:pPr>
      <w:r>
        <w:rPr>
          <w:rFonts w:ascii="Arial" w:cs="Arial" w:eastAsia="Arial" w:hAnsi="Arial"/>
          <w:sz w:val="22"/>
          <w:szCs w:val="22"/>
        </w:rPr>
        <w:t xml:space="preserve">Geology / Maps</w:t>
      </w:r>
    </w:p>
    <w:p>
      <w:pPr>
        <w:spacing w:after="200"/>
      </w:pPr>
    </w:p>
    <w:p>
      <w:pPr>
        <w:spacing w:after="120"/>
      </w:pPr>
      <w:r>
        <w:rPr>
          <w:rFonts w:ascii="Arial" w:cs="Arial" w:eastAsia="Arial" w:hAnsi="Arial"/>
          <w:b/>
          <w:bCs/>
          <w:sz w:val="22"/>
          <w:szCs w:val="22"/>
        </w:rPr>
        <w:t xml:space="preserve">Filing Rule: </w:t>
      </w:r>
      <w:r>
        <w:rPr>
          <w:rFonts w:ascii="Arial" w:cs="Arial" w:eastAsia="Arial" w:hAnsi="Arial"/>
          <w:sz w:val="22"/>
          <w:szCs w:val="22"/>
        </w:rPr>
        <w:t xml:space="preserve">Any email about designing, planning, or evaluating wells — before, during, or after drilling. Technical evaluations of prospects also go here. Once a well is on production and the conversation shifts to keeping it running, new emails go to Operations.</w:t>
      </w:r>
    </w:p>
    <w:p>
      <w:pPr>
        <w:spacing w:after="200"/>
      </w:pPr>
    </w:p>
    <w:p>
      <w:pPr>
        <w:spacing w:after="120"/>
      </w:pPr>
      <w:r>
        <w:rPr>
          <w:rFonts w:ascii="Arial" w:cs="Arial" w:eastAsia="Arial" w:hAnsi="Arial"/>
          <w:b/>
          <w:bCs/>
          <w:i/>
          <w:iCs/>
          <w:color w:val="555555"/>
          <w:sz w:val="20"/>
          <w:szCs w:val="20"/>
        </w:rPr>
        <w:t xml:space="preserve">Classification Keywords: </w:t>
      </w:r>
    </w:p>
    <w:p>
      <w:pPr>
        <w:spacing w:after="120"/>
      </w:pPr>
      <w:r>
        <w:rPr>
          <w:rFonts w:ascii="Arial" w:cs="Arial" w:eastAsia="Arial" w:hAnsi="Arial"/>
          <w:sz w:val="22"/>
          <w:szCs w:val="22"/>
        </w:rPr>
        <w:t xml:space="default">drill, spud, TD, completion, frac, perf, casing, cement, mud, BHA, directional, lateral, curve, reservoir, EUR, IP, decline, type curve, AFE, authorization, geologist, seismic, log, core, formation, bench, target, spacing, DSU</w:t>
      </w:r>
    </w:p>
    <w:p>
      <w:pPr>
        <w:spacing w:after="200"/>
      </w:pPr>
    </w:p>
    <w:p>
      <w:pPr>
        <w:pBdr>
          <w:bottom w:val="single" w:color="B4C6D9" w:sz="2" w:space="4"/>
        </w:pBdr>
        <w:spacing w:after="200"/>
      </w:pPr>
    </w:p>
    <w:p>
      <w:pPr>
        <w:pStyle w:val="Heading3"/>
      </w:pPr>
      <w:r>
        <w:t xml:space="preserve">04 - Business Development &amp; Deals</w:t>
      </w:r>
    </w:p>
    <w:p>
      <w:pPr>
        <w:shd w:fill="FFF8E1" w:val="clear"/>
        <w:spacing w:before="80" w:after="80"/>
      </w:pPr>
      <w:r>
        <w:rPr>
          <w:rFonts w:ascii="Arial" w:cs="Arial" w:eastAsia="Arial" w:hAnsi="Arial"/>
          <w:b/>
          <w:bCs/>
          <w:color w:val="B8860B"/>
          <w:sz w:val="20"/>
          <w:szCs w:val="20"/>
        </w:rPr>
        <w:t xml:space="preserve">✏️ UPDATED: </w:t>
      </w:r>
      <w:r>
        <w:rPr>
          <w:rFonts w:ascii="Arial" w:cs="Arial" w:eastAsia="Arial" w:hAnsi="Arial"/>
          <w:color w:val="5D4037"/>
          <w:sz w:val="20"/>
          <w:szCs w:val="20"/>
        </w:rPr>
        <w:t xml:space="preserve">Added Dead Deal lifecycle rules: (1) System never auto-moves to Dead Deals — always flags for your approval when a deal has had no activity for 60+ days. (2) If new email activity is detected on a Dead Deal with re-engagement tone, system flags for approval to move back to Active Deals. Both directions require your explicit one-tap confirmation. See Deal Lifecycle Intelligence section below.</w:t>
      </w:r>
    </w:p>
    <w:p>
      <w:pPr>
        <w:spacing w:after="120"/>
      </w:pPr>
      <w:r>
        <w:rPr>
          <w:rFonts w:ascii="Arial" w:cs="Arial" w:eastAsia="Arial" w:hAnsi="Arial"/>
          <w:sz w:val="22"/>
          <w:szCs w:val="22"/>
        </w:rPr>
        <w:t xml:space="preserve">Acquisitions, divestitures, farm-ins/farm-outs, prospect generation, deal screening, LOIs, PSAs, due diligence, data room access, broker packages, and all growth-oriented deal activity.</w:t>
      </w:r>
    </w:p>
    <w:p>
      <w:pPr>
        <w:spacing w:after="200"/>
      </w:pPr>
    </w:p>
    <w:p>
      <w:pPr>
        <w:spacing w:after="120"/>
      </w:pPr>
      <w:r>
        <w:rPr>
          <w:rFonts w:ascii="Arial" w:cs="Arial" w:eastAsia="Arial" w:hAnsi="Arial"/>
          <w:b/>
          <w:bCs/>
          <w:sz w:val="22"/>
          <w:szCs w:val="22"/>
        </w:rPr>
        <w:t xml:space="preserve">Subfolders:</w:t>
      </w:r>
    </w:p>
    <w:p>
      <w:pPr>
        <w:pStyle w:val="ListParagraph"/>
        <w:numPr>
          <w:ilvl w:val="0"/>
          <w:numId w:val="2"/>
        </w:numPr>
        <w:spacing w:after="80"/>
      </w:pPr>
      <w:r>
        <w:rPr>
          <w:rFonts w:ascii="Arial" w:cs="Arial" w:eastAsia="Arial" w:hAnsi="Arial"/>
          <w:sz w:val="22"/>
          <w:szCs w:val="22"/>
        </w:rPr>
        <w:t xml:space="preserve">Active Deals &gt; [Deal Name] (created on confirmation)</w:t>
      </w:r>
    </w:p>
    <w:p>
      <w:pPr>
        <w:pStyle w:val="ListParagraph"/>
        <w:numPr>
          <w:ilvl w:val="0"/>
          <w:numId w:val="2"/>
        </w:numPr>
        <w:spacing w:after="80"/>
      </w:pPr>
      <w:r>
        <w:rPr>
          <w:rFonts w:ascii="Arial" w:cs="Arial" w:eastAsia="Arial" w:hAnsi="Arial"/>
          <w:sz w:val="22"/>
          <w:szCs w:val="22"/>
        </w:rPr>
        <w:t xml:space="preserve">Dead Deals (reference archive — requires explicit approval to move here or out of here)</w:t>
      </w:r>
    </w:p>
    <w:p>
      <w:pPr>
        <w:pStyle w:val="ListParagraph"/>
        <w:numPr>
          <w:ilvl w:val="0"/>
          <w:numId w:val="2"/>
        </w:numPr>
        <w:spacing w:after="80"/>
      </w:pPr>
      <w:r>
        <w:rPr>
          <w:rFonts w:ascii="Arial" w:cs="Arial" w:eastAsia="Arial" w:hAnsi="Arial"/>
          <w:sz w:val="22"/>
          <w:szCs w:val="22"/>
        </w:rPr>
        <w:t xml:space="preserve">Deal Flow / Screening</w:t>
      </w:r>
    </w:p>
    <w:p>
      <w:pPr>
        <w:pStyle w:val="ListParagraph"/>
        <w:numPr>
          <w:ilvl w:val="0"/>
          <w:numId w:val="2"/>
        </w:numPr>
        <w:spacing w:after="80"/>
      </w:pPr>
      <w:r>
        <w:rPr>
          <w:rFonts w:ascii="Arial" w:cs="Arial" w:eastAsia="Arial" w:hAnsi="Arial"/>
          <w:sz w:val="22"/>
          <w:szCs w:val="22"/>
        </w:rPr>
        <w:t xml:space="preserve">Brokers &amp; Sources</w:t>
      </w:r>
    </w:p>
    <w:p>
      <w:pPr>
        <w:spacing w:after="200"/>
      </w:pPr>
    </w:p>
    <w:p>
      <w:pPr>
        <w:spacing w:after="120"/>
      </w:pPr>
      <w:r>
        <w:rPr>
          <w:rFonts w:ascii="Arial" w:cs="Arial" w:eastAsia="Arial" w:hAnsi="Arial"/>
          <w:b/>
          <w:bCs/>
          <w:sz w:val="22"/>
          <w:szCs w:val="22"/>
        </w:rPr>
        <w:t xml:space="preserve">Filing Rule: </w:t>
      </w:r>
      <w:r>
        <w:rPr>
          <w:rFonts w:ascii="Arial" w:cs="Arial" w:eastAsia="Arial" w:hAnsi="Arial"/>
          <w:sz w:val="22"/>
          <w:szCs w:val="22"/>
        </w:rPr>
        <w:t xml:space="preserve">Anything related to buying, selling, or partnering on assets at the deal level. This is where growth lives. If you’re evaluating whether to acquire something, negotiating terms, or running diligence, it’s here. Once a deal closes and becomes an operating asset, new operational emails shift to Operations, Land, or Engineering as appropriate.</w:t>
      </w:r>
    </w:p>
    <w:p>
      <w:pPr>
        <w:spacing w:after="200"/>
      </w:pPr>
    </w:p>
    <w:p>
      <w:pPr>
        <w:spacing w:after="120"/>
      </w:pPr>
      <w:r>
        <w:rPr>
          <w:rFonts w:ascii="Arial" w:cs="Arial" w:eastAsia="Arial" w:hAnsi="Arial"/>
          <w:b/>
          <w:bCs/>
          <w:i/>
          <w:iCs/>
          <w:color w:val="555555"/>
          <w:sz w:val="20"/>
          <w:szCs w:val="20"/>
        </w:rPr>
        <w:t xml:space="preserve">Classification Keywords: </w:t>
      </w:r>
    </w:p>
    <w:p>
      <w:pPr>
        <w:spacing w:after="120"/>
      </w:pPr>
      <w:r>
        <w:rPr>
          <w:rFonts w:ascii="Arial" w:cs="Arial" w:eastAsia="Arial" w:hAnsi="Arial"/>
          <w:sz w:val="22"/>
          <w:szCs w:val="22"/>
        </w:rPr>
        <w:t xml:space="default">acquisition, divestiture, farm-in, farm-out, LOI, PSA, purchase, sale, due diligence, data room, bid, offer, prospect, deal, package, marketed, broker, A&amp;D, closing, earnest, deposit, exclusivity, indemnity</w:t>
      </w:r>
    </w:p>
    <w:p>
      <w:pPr>
        <w:spacing w:after="200"/>
      </w:pPr>
    </w:p>
    <w:p>
      <w:pPr>
        <w:pBdr>
          <w:bottom w:val="single" w:color="B4C6D9" w:sz="2" w:space="4"/>
        </w:pBdr>
        <w:spacing w:after="200"/>
      </w:pPr>
    </w:p>
    <w:p>
      <w:pPr>
        <w:pStyle w:val="Heading3"/>
      </w:pPr>
      <w:r>
        <w:t xml:space="preserve">05 - Investors &amp; Capital</w:t>
      </w:r>
    </w:p>
    <w:p>
      <w:pPr>
        <w:shd w:fill="FFF8E1" w:val="clear"/>
        <w:spacing w:before="80" w:after="80"/>
      </w:pPr>
      <w:r>
        <w:rPr>
          <w:rFonts w:ascii="Arial" w:cs="Arial" w:eastAsia="Arial" w:hAnsi="Arial"/>
          <w:b/>
          <w:bCs/>
          <w:color w:val="B8860B"/>
          <w:sz w:val="20"/>
          <w:szCs w:val="20"/>
        </w:rPr>
        <w:t xml:space="preserve">✏️ UPDATED: </w:t>
      </w:r>
      <w:r>
        <w:rPr>
          <w:rFonts w:ascii="Arial" w:cs="Arial" w:eastAsia="Arial" w:hAnsi="Arial"/>
          <w:color w:val="5D4037"/>
          <w:sz w:val="20"/>
          <w:szCs w:val="20"/>
        </w:rPr>
        <w:t xml:space="preserve">Added to keywords: RBL, ABS, warehouse facility, bridge loan. Added to description: reserve-based lending, asset-backed securities, warehouse facilities, bridge loans.</w:t>
      </w:r>
    </w:p>
    <w:p>
      <w:pPr>
        <w:spacing w:after="120"/>
      </w:pPr>
      <w:r>
        <w:rPr>
          <w:rFonts w:ascii="Arial" w:cs="Arial" w:eastAsia="Arial" w:hAnsi="Arial"/>
          <w:sz w:val="22"/>
          <w:szCs w:val="22"/>
        </w:rPr>
        <w:t xml:space="preserve">Equity partners, lenders, fundraising, investor updates, capital calls, distributions, subscription agreements, investor onboarding, board/advisory communications, PPMs, reserve-based lending, asset-backed securities, warehouse facilities, bridge loans.</w:t>
      </w:r>
    </w:p>
    <w:p>
      <w:pPr>
        <w:spacing w:after="200"/>
      </w:pPr>
    </w:p>
    <w:p>
      <w:pPr>
        <w:spacing w:after="120"/>
      </w:pPr>
      <w:r>
        <w:rPr>
          <w:rFonts w:ascii="Arial" w:cs="Arial" w:eastAsia="Arial" w:hAnsi="Arial"/>
          <w:b/>
          <w:bCs/>
          <w:sz w:val="22"/>
          <w:szCs w:val="22"/>
        </w:rPr>
        <w:t xml:space="preserve">Subfolders:</w:t>
      </w:r>
    </w:p>
    <w:p>
      <w:pPr>
        <w:pStyle w:val="ListParagraph"/>
        <w:numPr>
          <w:ilvl w:val="0"/>
          <w:numId w:val="2"/>
        </w:numPr>
        <w:spacing w:after="80"/>
      </w:pPr>
      <w:r>
        <w:rPr>
          <w:rFonts w:ascii="Arial" w:cs="Arial" w:eastAsia="Arial" w:hAnsi="Arial"/>
          <w:sz w:val="22"/>
          <w:szCs w:val="22"/>
        </w:rPr>
        <w:t xml:space="preserve">Investor Relations</w:t>
      </w:r>
    </w:p>
    <w:p>
      <w:pPr>
        <w:pStyle w:val="ListParagraph"/>
        <w:numPr>
          <w:ilvl w:val="0"/>
          <w:numId w:val="2"/>
        </w:numPr>
        <w:spacing w:after="80"/>
      </w:pPr>
      <w:r>
        <w:rPr>
          <w:rFonts w:ascii="Arial" w:cs="Arial" w:eastAsia="Arial" w:hAnsi="Arial"/>
          <w:sz w:val="22"/>
          <w:szCs w:val="22"/>
        </w:rPr>
        <w:t xml:space="preserve">Banking &amp; Lending</w:t>
      </w:r>
    </w:p>
    <w:p>
      <w:pPr>
        <w:pStyle w:val="ListParagraph"/>
        <w:numPr>
          <w:ilvl w:val="0"/>
          <w:numId w:val="2"/>
        </w:numPr>
        <w:spacing w:after="80"/>
      </w:pPr>
      <w:r>
        <w:rPr>
          <w:rFonts w:ascii="Arial" w:cs="Arial" w:eastAsia="Arial" w:hAnsi="Arial"/>
          <w:sz w:val="22"/>
          <w:szCs w:val="22"/>
        </w:rPr>
        <w:t xml:space="preserve">Board / Advisory</w:t>
      </w:r>
    </w:p>
    <w:p>
      <w:pPr>
        <w:pStyle w:val="ListParagraph"/>
        <w:numPr>
          <w:ilvl w:val="0"/>
          <w:numId w:val="2"/>
        </w:numPr>
        <w:spacing w:after="80"/>
      </w:pPr>
      <w:r>
        <w:rPr>
          <w:rFonts w:ascii="Arial" w:cs="Arial" w:eastAsia="Arial" w:hAnsi="Arial"/>
          <w:sz w:val="22"/>
          <w:szCs w:val="22"/>
        </w:rPr>
        <w:t xml:space="preserve">Capital Raises</w:t>
      </w:r>
    </w:p>
    <w:p>
      <w:pPr>
        <w:spacing w:after="200"/>
      </w:pPr>
    </w:p>
    <w:p>
      <w:pPr>
        <w:spacing w:after="120"/>
      </w:pPr>
      <w:r>
        <w:rPr>
          <w:rFonts w:ascii="Arial" w:cs="Arial" w:eastAsia="Arial" w:hAnsi="Arial"/>
          <w:b/>
          <w:bCs/>
          <w:sz w:val="22"/>
          <w:szCs w:val="22"/>
        </w:rPr>
        <w:t xml:space="preserve">Filing Rule: </w:t>
      </w:r>
      <w:r>
        <w:rPr>
          <w:rFonts w:ascii="Arial" w:cs="Arial" w:eastAsia="Arial" w:hAnsi="Arial"/>
          <w:sz w:val="22"/>
          <w:szCs w:val="22"/>
        </w:rPr>
        <w:t xml:space="preserve">Any email about who is funding Peak 10 and the relationship with those funders. Investor updates you send, capital call notices, distribution calculations, lender compliance, borrowing base reviews, and board-level strategy discussions.</w:t>
      </w:r>
    </w:p>
    <w:p>
      <w:pPr>
        <w:spacing w:after="200"/>
      </w:pPr>
    </w:p>
    <w:p>
      <w:pPr>
        <w:spacing w:after="120"/>
      </w:pPr>
      <w:r>
        <w:rPr>
          <w:rFonts w:ascii="Arial" w:cs="Arial" w:eastAsia="Arial" w:hAnsi="Arial"/>
          <w:b/>
          <w:bCs/>
          <w:i/>
          <w:iCs/>
          <w:color w:val="555555"/>
          <w:sz w:val="20"/>
          <w:szCs w:val="20"/>
        </w:rPr>
        <w:t xml:space="preserve">Classification Keywords: </w:t>
      </w:r>
    </w:p>
    <w:p>
      <w:pPr>
        <w:spacing w:after="120"/>
      </w:pPr>
      <w:r>
        <w:rPr>
          <w:rFonts w:ascii="Arial" w:cs="Arial" w:eastAsia="Arial" w:hAnsi="Arial"/>
          <w:sz w:val="22"/>
          <w:szCs w:val="22"/>
        </w:rPr>
        <w:t xml:space="default">investor, capital call, distribution, PPM, subscription, equity, fund, LP, limited partner, lender, bank, borrowing base, revolver, credit facility, covenant, board, advisory, capital raise, commitment, waterfall, RBL, ABS, warehouse facility, bridge loan</w:t>
      </w:r>
    </w:p>
    <w:p>
      <w:pPr>
        <w:spacing w:after="200"/>
      </w:pPr>
    </w:p>
    <w:p>
      <w:pPr>
        <w:pBdr>
          <w:bottom w:val="single" w:color="B4C6D9" w:sz="2" w:space="4"/>
        </w:pBdr>
        <w:spacing w:after="200"/>
      </w:pPr>
    </w:p>
    <w:p>
      <w:pPr>
        <w:pStyle w:val="Heading3"/>
      </w:pPr>
      <w:r>
        <w:t xml:space="preserve">06 - JV &amp; Partners</w:t>
      </w:r>
    </w:p>
    <w:p>
      <w:pPr>
        <w:spacing w:after="120"/>
      </w:pPr>
      <w:r>
        <w:rPr>
          <w:rFonts w:ascii="Arial" w:cs="Arial" w:eastAsia="Arial" w:hAnsi="Arial"/>
          <w:sz w:val="22"/>
          <w:szCs w:val="22"/>
        </w:rPr>
        <w:t xml:space="preserve">Joint venture correspondence, working interest owner communications, JOAs, elections, consent requests, non-consent penalties, JV billings, partner disputes, operator communications.</w:t>
      </w:r>
    </w:p>
    <w:p>
      <w:pPr>
        <w:spacing w:after="200"/>
      </w:pPr>
    </w:p>
    <w:p>
      <w:pPr>
        <w:spacing w:after="120"/>
      </w:pPr>
      <w:r>
        <w:rPr>
          <w:rFonts w:ascii="Arial" w:cs="Arial" w:eastAsia="Arial" w:hAnsi="Arial"/>
          <w:b/>
          <w:bCs/>
          <w:sz w:val="22"/>
          <w:szCs w:val="22"/>
        </w:rPr>
        <w:t xml:space="preserve">Subfolders:</w:t>
      </w:r>
    </w:p>
    <w:p>
      <w:pPr>
        <w:pStyle w:val="ListParagraph"/>
        <w:numPr>
          <w:ilvl w:val="0"/>
          <w:numId w:val="2"/>
        </w:numPr>
        <w:spacing w:after="80"/>
      </w:pPr>
      <w:r>
        <w:rPr>
          <w:rFonts w:ascii="Arial" w:cs="Arial" w:eastAsia="Arial" w:hAnsi="Arial"/>
          <w:sz w:val="22"/>
          <w:szCs w:val="22"/>
        </w:rPr>
        <w:t xml:space="preserve">[Partner / JV Name] (created on confirmation)</w:t>
      </w:r>
    </w:p>
    <w:p>
      <w:pPr>
        <w:pStyle w:val="ListParagraph"/>
        <w:numPr>
          <w:ilvl w:val="0"/>
          <w:numId w:val="2"/>
        </w:numPr>
        <w:spacing w:after="80"/>
      </w:pPr>
      <w:r>
        <w:rPr>
          <w:rFonts w:ascii="Arial" w:cs="Arial" w:eastAsia="Arial" w:hAnsi="Arial"/>
          <w:sz w:val="22"/>
          <w:szCs w:val="22"/>
        </w:rPr>
        <w:t xml:space="preserve">JOA Administration</w:t>
      </w:r>
    </w:p>
    <w:p>
      <w:pPr>
        <w:pStyle w:val="ListParagraph"/>
        <w:numPr>
          <w:ilvl w:val="0"/>
          <w:numId w:val="2"/>
        </w:numPr>
        <w:spacing w:after="80"/>
      </w:pPr>
      <w:r>
        <w:rPr>
          <w:rFonts w:ascii="Arial" w:cs="Arial" w:eastAsia="Arial" w:hAnsi="Arial"/>
          <w:sz w:val="22"/>
          <w:szCs w:val="22"/>
        </w:rPr>
        <w:t xml:space="preserve">Elections &amp; Consents</w:t>
      </w:r>
    </w:p>
    <w:p>
      <w:pPr>
        <w:spacing w:after="200"/>
      </w:pPr>
    </w:p>
    <w:p>
      <w:pPr>
        <w:spacing w:after="120"/>
      </w:pPr>
      <w:r>
        <w:rPr>
          <w:rFonts w:ascii="Arial" w:cs="Arial" w:eastAsia="Arial" w:hAnsi="Arial"/>
          <w:b/>
          <w:bCs/>
          <w:sz w:val="22"/>
          <w:szCs w:val="22"/>
        </w:rPr>
        <w:t xml:space="preserve">Filing Rule: </w:t>
      </w:r>
      <w:r>
        <w:rPr>
          <w:rFonts w:ascii="Arial" w:cs="Arial" w:eastAsia="Arial" w:hAnsi="Arial"/>
          <w:sz w:val="22"/>
          <w:szCs w:val="22"/>
        </w:rPr>
        <w:t xml:space="preserve">Communications with parties who have a working interest in your wells/projects, or where you hold a working interest in someone else’s operations. JOA mechanics, AFE elections, JIB disputes. Distinct from Investors (who provide equity capital to Peak 10 the company) — JV partners share working interest in specific assets.</w:t>
      </w:r>
    </w:p>
    <w:p>
      <w:pPr>
        <w:spacing w:after="200"/>
      </w:pPr>
    </w:p>
    <w:p>
      <w:pPr>
        <w:spacing w:after="120"/>
      </w:pPr>
      <w:r>
        <w:rPr>
          <w:rFonts w:ascii="Arial" w:cs="Arial" w:eastAsia="Arial" w:hAnsi="Arial"/>
          <w:b/>
          <w:bCs/>
          <w:i/>
          <w:iCs/>
          <w:color w:val="555555"/>
          <w:sz w:val="20"/>
          <w:szCs w:val="20"/>
        </w:rPr>
        <w:t xml:space="preserve">Classification Keywords: </w:t>
      </w:r>
    </w:p>
    <w:p>
      <w:pPr>
        <w:spacing w:after="120"/>
      </w:pPr>
      <w:r>
        <w:rPr>
          <w:rFonts w:ascii="Arial" w:cs="Arial" w:eastAsia="Arial" w:hAnsi="Arial"/>
          <w:sz w:val="22"/>
          <w:szCs w:val="22"/>
        </w:rPr>
        <w:t xml:space="default">JOA, joint operating, working interest, WI, NRI, non-op, non-consent, AFE election, JIB, joint interest billing, operator, non-operator, consent, cash call, overhead, COPAS, payout</w:t>
      </w:r>
    </w:p>
    <w:p>
      <w:pPr>
        <w:spacing w:after="200"/>
      </w:pPr>
    </w:p>
    <w:p>
      <w:pPr>
        <w:pBdr>
          <w:bottom w:val="single" w:color="B4C6D9" w:sz="2" w:space="4"/>
        </w:pBdr>
        <w:spacing w:after="200"/>
      </w:pPr>
    </w:p>
    <w:p>
      <w:pPr>
        <w:pStyle w:val="Heading3"/>
      </w:pPr>
      <w:r>
        <w:t xml:space="preserve">07 - Legal</w:t>
      </w:r>
    </w:p>
    <w:p>
      <w:pPr>
        <w:spacing w:after="120"/>
      </w:pPr>
      <w:r>
        <w:rPr>
          <w:rFonts w:ascii="Arial" w:cs="Arial" w:eastAsia="Arial" w:hAnsi="Arial"/>
          <w:sz w:val="22"/>
          <w:szCs w:val="22"/>
        </w:rPr>
        <w:t xml:space="preserve">Outside counsel correspondence, contracts not tied to a specific deal, litigation, regulatory enforcement actions, corporate governance, entity formation, IP.</w:t>
      </w:r>
    </w:p>
    <w:p>
      <w:pPr>
        <w:spacing w:after="200"/>
      </w:pPr>
    </w:p>
    <w:p>
      <w:pPr>
        <w:spacing w:after="120"/>
      </w:pPr>
      <w:r>
        <w:rPr>
          <w:rFonts w:ascii="Arial" w:cs="Arial" w:eastAsia="Arial" w:hAnsi="Arial"/>
          <w:b/>
          <w:bCs/>
          <w:sz w:val="22"/>
          <w:szCs w:val="22"/>
        </w:rPr>
        <w:t xml:space="preserve">Subfolders:</w:t>
      </w:r>
    </w:p>
    <w:p>
      <w:pPr>
        <w:pStyle w:val="ListParagraph"/>
        <w:numPr>
          <w:ilvl w:val="0"/>
          <w:numId w:val="2"/>
        </w:numPr>
        <w:spacing w:after="80"/>
      </w:pPr>
      <w:r>
        <w:rPr>
          <w:rFonts w:ascii="Arial" w:cs="Arial" w:eastAsia="Arial" w:hAnsi="Arial"/>
          <w:sz w:val="22"/>
          <w:szCs w:val="22"/>
        </w:rPr>
        <w:t xml:space="preserve">Contracts</w:t>
      </w:r>
    </w:p>
    <w:p>
      <w:pPr>
        <w:pStyle w:val="ListParagraph"/>
        <w:numPr>
          <w:ilvl w:val="0"/>
          <w:numId w:val="2"/>
        </w:numPr>
        <w:spacing w:after="80"/>
      </w:pPr>
      <w:r>
        <w:rPr>
          <w:rFonts w:ascii="Arial" w:cs="Arial" w:eastAsia="Arial" w:hAnsi="Arial"/>
          <w:sz w:val="22"/>
          <w:szCs w:val="22"/>
        </w:rPr>
        <w:t xml:space="preserve">Litigation / Disputes</w:t>
      </w:r>
    </w:p>
    <w:p>
      <w:pPr>
        <w:pStyle w:val="ListParagraph"/>
        <w:numPr>
          <w:ilvl w:val="0"/>
          <w:numId w:val="2"/>
        </w:numPr>
        <w:spacing w:after="80"/>
      </w:pPr>
      <w:r>
        <w:rPr>
          <w:rFonts w:ascii="Arial" w:cs="Arial" w:eastAsia="Arial" w:hAnsi="Arial"/>
          <w:sz w:val="22"/>
          <w:szCs w:val="22"/>
        </w:rPr>
        <w:t xml:space="preserve">Corporate / Governance</w:t>
      </w:r>
    </w:p>
    <w:p>
      <w:pPr>
        <w:pStyle w:val="ListParagraph"/>
        <w:numPr>
          <w:ilvl w:val="0"/>
          <w:numId w:val="2"/>
        </w:numPr>
        <w:spacing w:after="80"/>
      </w:pPr>
      <w:r>
        <w:rPr>
          <w:rFonts w:ascii="Arial" w:cs="Arial" w:eastAsia="Arial" w:hAnsi="Arial"/>
          <w:sz w:val="22"/>
          <w:szCs w:val="22"/>
        </w:rPr>
        <w:t xml:space="preserve">Entity Management</w:t>
      </w:r>
    </w:p>
    <w:p>
      <w:pPr>
        <w:spacing w:after="200"/>
      </w:pPr>
    </w:p>
    <w:p>
      <w:pPr>
        <w:spacing w:after="120"/>
      </w:pPr>
      <w:r>
        <w:rPr>
          <w:rFonts w:ascii="Arial" w:cs="Arial" w:eastAsia="Arial" w:hAnsi="Arial"/>
          <w:b/>
          <w:bCs/>
          <w:sz w:val="22"/>
          <w:szCs w:val="22"/>
        </w:rPr>
        <w:t xml:space="preserve">Filing Rule: </w:t>
      </w:r>
      <w:r>
        <w:rPr>
          <w:rFonts w:ascii="Arial" w:cs="Arial" w:eastAsia="Arial" w:hAnsi="Arial"/>
          <w:sz w:val="22"/>
          <w:szCs w:val="22"/>
        </w:rPr>
        <w:t xml:space="preserve">Emails with or about attorneys and legal matters. Important distinction: if the legal matter is specifically about an active deal, file it in BD &gt; [Deal Name] to keep the deal file complete. If it’s a standalone legal matter (lawsuit, general corporate, entity work), it goes here.</w:t>
      </w:r>
    </w:p>
    <w:p>
      <w:pPr>
        <w:spacing w:after="200"/>
      </w:pPr>
    </w:p>
    <w:p>
      <w:pPr>
        <w:spacing w:after="120"/>
      </w:pPr>
      <w:r>
        <w:rPr>
          <w:rFonts w:ascii="Arial" w:cs="Arial" w:eastAsia="Arial" w:hAnsi="Arial"/>
          <w:b/>
          <w:bCs/>
          <w:i/>
          <w:iCs/>
          <w:color w:val="555555"/>
          <w:sz w:val="20"/>
          <w:szCs w:val="20"/>
        </w:rPr>
        <w:t xml:space="preserve">Classification Keywords: </w:t>
      </w:r>
    </w:p>
    <w:p>
      <w:pPr>
        <w:spacing w:after="120"/>
      </w:pPr>
      <w:r>
        <w:rPr>
          <w:rFonts w:ascii="Arial" w:cs="Arial" w:eastAsia="Arial" w:hAnsi="Arial"/>
          <w:sz w:val="22"/>
          <w:szCs w:val="22"/>
        </w:rPr>
        <w:t xml:space="default">attorney, counsel, litigation, lawsuit, claim, damages, indemnity, contract, agreement, amendment, corporate, bylaws, operating agreement, LLC, entity, formation, dissolution, power of attorney, legal opinion</w:t>
      </w:r>
    </w:p>
    <w:p>
      <w:pPr>
        <w:spacing w:after="200"/>
      </w:pPr>
    </w:p>
    <w:p>
      <w:pPr>
        <w:pBdr>
          <w:bottom w:val="single" w:color="B4C6D9" w:sz="2" w:space="4"/>
        </w:pBdr>
        <w:spacing w:after="200"/>
      </w:pPr>
    </w:p>
    <w:p>
      <w:pPr>
        <w:pStyle w:val="Heading3"/>
      </w:pPr>
      <w:r>
        <w:t xml:space="preserve">08 - Regulatory &amp; Compliance</w:t>
      </w:r>
    </w:p>
    <w:p>
      <w:pPr>
        <w:spacing w:after="120"/>
      </w:pPr>
      <w:r>
        <w:rPr>
          <w:rFonts w:ascii="Arial" w:cs="Arial" w:eastAsia="Arial" w:hAnsi="Arial"/>
          <w:sz w:val="22"/>
          <w:szCs w:val="22"/>
        </w:rPr>
        <w:t xml:space="preserve">Railroad Commission (RRC), state agency correspondence, permits, environmental compliance, bonding, plugging obligations, H-10/W-2 filings, air permits, EPA, TCEQ.</w:t>
      </w:r>
    </w:p>
    <w:p>
      <w:pPr>
        <w:spacing w:after="200"/>
      </w:pPr>
    </w:p>
    <w:p>
      <w:pPr>
        <w:spacing w:after="120"/>
      </w:pPr>
      <w:r>
        <w:rPr>
          <w:rFonts w:ascii="Arial" w:cs="Arial" w:eastAsia="Arial" w:hAnsi="Arial"/>
          <w:b/>
          <w:bCs/>
          <w:sz w:val="22"/>
          <w:szCs w:val="22"/>
        </w:rPr>
        <w:t xml:space="preserve">Subfolders:</w:t>
      </w:r>
    </w:p>
    <w:p>
      <w:pPr>
        <w:pStyle w:val="ListParagraph"/>
        <w:numPr>
          <w:ilvl w:val="0"/>
          <w:numId w:val="2"/>
        </w:numPr>
        <w:spacing w:after="80"/>
      </w:pPr>
      <w:r>
        <w:rPr>
          <w:rFonts w:ascii="Arial" w:cs="Arial" w:eastAsia="Arial" w:hAnsi="Arial"/>
          <w:sz w:val="22"/>
          <w:szCs w:val="22"/>
        </w:rPr>
        <w:t xml:space="preserve">RRC / State Agencies</w:t>
      </w:r>
    </w:p>
    <w:p>
      <w:pPr>
        <w:pStyle w:val="ListParagraph"/>
        <w:numPr>
          <w:ilvl w:val="0"/>
          <w:numId w:val="2"/>
        </w:numPr>
        <w:spacing w:after="80"/>
      </w:pPr>
      <w:r>
        <w:rPr>
          <w:rFonts w:ascii="Arial" w:cs="Arial" w:eastAsia="Arial" w:hAnsi="Arial"/>
          <w:sz w:val="22"/>
          <w:szCs w:val="22"/>
        </w:rPr>
        <w:t xml:space="preserve">Environmental</w:t>
      </w:r>
    </w:p>
    <w:p>
      <w:pPr>
        <w:pStyle w:val="ListParagraph"/>
        <w:numPr>
          <w:ilvl w:val="0"/>
          <w:numId w:val="2"/>
        </w:numPr>
        <w:spacing w:after="80"/>
      </w:pPr>
      <w:r>
        <w:rPr>
          <w:rFonts w:ascii="Arial" w:cs="Arial" w:eastAsia="Arial" w:hAnsi="Arial"/>
          <w:sz w:val="22"/>
          <w:szCs w:val="22"/>
        </w:rPr>
        <w:t xml:space="preserve">Permits &amp; Bonds</w:t>
      </w:r>
    </w:p>
    <w:p>
      <w:pPr>
        <w:spacing w:after="200"/>
      </w:pPr>
    </w:p>
    <w:p>
      <w:pPr>
        <w:spacing w:after="120"/>
      </w:pPr>
      <w:r>
        <w:rPr>
          <w:rFonts w:ascii="Arial" w:cs="Arial" w:eastAsia="Arial" w:hAnsi="Arial"/>
          <w:b/>
          <w:bCs/>
          <w:sz w:val="22"/>
          <w:szCs w:val="22"/>
        </w:rPr>
        <w:t xml:space="preserve">Filing Rule: </w:t>
      </w:r>
      <w:r>
        <w:rPr>
          <w:rFonts w:ascii="Arial" w:cs="Arial" w:eastAsia="Arial" w:hAnsi="Arial"/>
          <w:sz w:val="22"/>
          <w:szCs w:val="22"/>
        </w:rPr>
        <w:t xml:space="preserve">Any interaction with government agencies about permits, compliance, reporting obligations, or enforcement. If a regulatory matter becomes a legal dispute (enforcement action with counsel involved), the legal correspondence goes in Legal &gt; Litigation, but the underlying regulatory filings stay here.</w:t>
      </w:r>
    </w:p>
    <w:p>
      <w:pPr>
        <w:spacing w:after="200"/>
      </w:pPr>
    </w:p>
    <w:p>
      <w:pPr>
        <w:spacing w:after="120"/>
      </w:pPr>
      <w:r>
        <w:rPr>
          <w:rFonts w:ascii="Arial" w:cs="Arial" w:eastAsia="Arial" w:hAnsi="Arial"/>
          <w:b/>
          <w:bCs/>
          <w:i/>
          <w:iCs/>
          <w:color w:val="555555"/>
          <w:sz w:val="20"/>
          <w:szCs w:val="20"/>
        </w:rPr>
        <w:t xml:space="preserve">Classification Keywords: </w:t>
      </w:r>
    </w:p>
    <w:p>
      <w:pPr>
        <w:spacing w:after="120"/>
      </w:pPr>
      <w:r>
        <w:rPr>
          <w:rFonts w:ascii="Arial" w:cs="Arial" w:eastAsia="Arial" w:hAnsi="Arial"/>
          <w:sz w:val="22"/>
          <w:szCs w:val="22"/>
        </w:rPr>
        <w:t xml:space="default">RRC, Railroad Commission, permit, W-2, H-10, P-4, W-1, completion report, plugging, bonding, surety, TCEQ, EPA, air permit, water disposal permit, injection permit, compliance, audit, inspection, violation, notice</w:t>
      </w:r>
    </w:p>
    <w:p>
      <w:pPr>
        <w:spacing w:after="200"/>
      </w:pPr>
    </w:p>
    <w:p>
      <w:pPr>
        <w:pBdr>
          <w:bottom w:val="single" w:color="B4C6D9" w:sz="2" w:space="4"/>
        </w:pBdr>
        <w:spacing w:after="200"/>
      </w:pPr>
    </w:p>
    <w:p>
      <w:pPr>
        <w:pStyle w:val="Heading3"/>
      </w:pPr>
      <w:r>
        <w:t xml:space="preserve">09 - Finance &amp; Accounting</w:t>
      </w:r>
    </w:p>
    <w:p>
      <w:pPr>
        <w:shd w:fill="FFF8E1" w:val="clear"/>
        <w:spacing w:before="80" w:after="80"/>
      </w:pPr>
      <w:r>
        <w:rPr>
          <w:rFonts w:ascii="Arial" w:cs="Arial" w:eastAsia="Arial" w:hAnsi="Arial"/>
          <w:b/>
          <w:bCs/>
          <w:color w:val="B8860B"/>
          <w:sz w:val="20"/>
          <w:szCs w:val="20"/>
        </w:rPr>
        <w:t xml:space="preserve">✏️ UPDATED: </w:t>
      </w:r>
      <w:r>
        <w:rPr>
          <w:rFonts w:ascii="Arial" w:cs="Arial" w:eastAsia="Arial" w:hAnsi="Arial"/>
          <w:color w:val="5D4037"/>
          <w:sz w:val="20"/>
          <w:szCs w:val="20"/>
        </w:rPr>
        <w:t xml:space="preserve">Restructured subfolders: Revenue &amp; Accounting split into three separate subfolders: JIB + Invoices, Revenue + AP, and Accounting. Tax, Insurance, and Audit remain as separate subfolders. Updated filing rules to clarify what goes in each.</w:t>
      </w:r>
    </w:p>
    <w:p>
      <w:pPr>
        <w:spacing w:after="120"/>
      </w:pPr>
      <w:r>
        <w:rPr>
          <w:rFonts w:ascii="Arial" w:cs="Arial" w:eastAsia="Arial" w:hAnsi="Arial"/>
          <w:sz w:val="22"/>
          <w:szCs w:val="22"/>
        </w:rPr>
        <w:t xml:space="preserve">All financial operations of the business: joint interest billings, vendor invoices, revenue distribution, accounts payable/receivable, general accounting, auditors, tax preparation, insurance, banking operations.</w:t>
      </w:r>
    </w:p>
    <w:p>
      <w:pPr>
        <w:spacing w:after="200"/>
      </w:pPr>
    </w:p>
    <w:p>
      <w:pPr>
        <w:spacing w:after="120"/>
      </w:pPr>
      <w:r>
        <w:rPr>
          <w:rFonts w:ascii="Arial" w:cs="Arial" w:eastAsia="Arial" w:hAnsi="Arial"/>
          <w:b/>
          <w:bCs/>
          <w:sz w:val="22"/>
          <w:szCs w:val="22"/>
        </w:rPr>
        <w:t xml:space="preserve">Subfolders:</w:t>
      </w:r>
    </w:p>
    <w:p>
      <w:pPr>
        <w:pStyle w:val="ListParagraph"/>
        <w:numPr>
          <w:ilvl w:val="0"/>
          <w:numId w:val="2"/>
        </w:numPr>
        <w:spacing w:after="80"/>
      </w:pPr>
      <w:r>
        <w:rPr>
          <w:rFonts w:ascii="Arial" w:cs="Arial" w:eastAsia="Arial" w:hAnsi="Arial"/>
          <w:sz w:val="22"/>
          <w:szCs w:val="22"/>
        </w:rPr>
        <w:t xml:space="preserve">JIB + Invoices</w:t>
      </w:r>
    </w:p>
    <w:p>
      <w:pPr>
        <w:pStyle w:val="ListParagraph"/>
        <w:numPr>
          <w:ilvl w:val="0"/>
          <w:numId w:val="2"/>
        </w:numPr>
        <w:spacing w:after="80"/>
      </w:pPr>
      <w:r>
        <w:rPr>
          <w:rFonts w:ascii="Arial" w:cs="Arial" w:eastAsia="Arial" w:hAnsi="Arial"/>
          <w:sz w:val="22"/>
          <w:szCs w:val="22"/>
        </w:rPr>
        <w:t xml:space="preserve">Revenue + AP</w:t>
      </w:r>
    </w:p>
    <w:p>
      <w:pPr>
        <w:pStyle w:val="ListParagraph"/>
        <w:numPr>
          <w:ilvl w:val="0"/>
          <w:numId w:val="2"/>
        </w:numPr>
        <w:spacing w:after="80"/>
      </w:pPr>
      <w:r>
        <w:rPr>
          <w:rFonts w:ascii="Arial" w:cs="Arial" w:eastAsia="Arial" w:hAnsi="Arial"/>
          <w:sz w:val="22"/>
          <w:szCs w:val="22"/>
        </w:rPr>
        <w:t xml:space="preserve">Accounting</w:t>
      </w:r>
    </w:p>
    <w:p>
      <w:pPr>
        <w:pStyle w:val="ListParagraph"/>
        <w:numPr>
          <w:ilvl w:val="0"/>
          <w:numId w:val="2"/>
        </w:numPr>
        <w:spacing w:after="80"/>
      </w:pPr>
      <w:r>
        <w:rPr>
          <w:rFonts w:ascii="Arial" w:cs="Arial" w:eastAsia="Arial" w:hAnsi="Arial"/>
          <w:sz w:val="22"/>
          <w:szCs w:val="22"/>
        </w:rPr>
        <w:t xml:space="preserve">Tax</w:t>
      </w:r>
    </w:p>
    <w:p>
      <w:pPr>
        <w:pStyle w:val="ListParagraph"/>
        <w:numPr>
          <w:ilvl w:val="0"/>
          <w:numId w:val="2"/>
        </w:numPr>
        <w:spacing w:after="80"/>
      </w:pPr>
      <w:r>
        <w:rPr>
          <w:rFonts w:ascii="Arial" w:cs="Arial" w:eastAsia="Arial" w:hAnsi="Arial"/>
          <w:sz w:val="22"/>
          <w:szCs w:val="22"/>
        </w:rPr>
        <w:t xml:space="preserve">Insurance</w:t>
      </w:r>
    </w:p>
    <w:p>
      <w:pPr>
        <w:pStyle w:val="ListParagraph"/>
        <w:numPr>
          <w:ilvl w:val="0"/>
          <w:numId w:val="2"/>
        </w:numPr>
        <w:spacing w:after="80"/>
      </w:pPr>
      <w:r>
        <w:rPr>
          <w:rFonts w:ascii="Arial" w:cs="Arial" w:eastAsia="Arial" w:hAnsi="Arial"/>
          <w:sz w:val="22"/>
          <w:szCs w:val="22"/>
        </w:rPr>
        <w:t xml:space="preserve">Audit</w:t>
      </w:r>
    </w:p>
    <w:p>
      <w:pPr>
        <w:spacing w:after="200"/>
      </w:pPr>
    </w:p>
    <w:p>
      <w:pPr>
        <w:spacing w:after="120"/>
      </w:pPr>
      <w:r>
        <w:rPr>
          <w:rFonts w:ascii="Arial" w:cs="Arial" w:eastAsia="Arial" w:hAnsi="Arial"/>
          <w:b/>
          <w:bCs/>
          <w:sz w:val="22"/>
          <w:szCs w:val="22"/>
        </w:rPr>
        <w:t xml:space="preserve">Filing Rule: </w:t>
      </w:r>
      <w:r>
        <w:rPr>
          <w:rFonts w:ascii="Arial" w:cs="Arial" w:eastAsia="Arial" w:hAnsi="Arial"/>
          <w:sz w:val="22"/>
          <w:szCs w:val="22"/>
        </w:rPr>
        <w:t xml:space="preserve">Day-to-day financial operations of the business. JIB + Invoices covers joint interest billings received and vendor/service invoices. Revenue + AP covers revenue statements, royalty payments, accounts payable processing, and check runs. Accounting covers general ledger, month-end close, financial statements, and CPA correspondence. If the email is about raising capital or investor distributions, it goes in Investors &amp; Capital.</w:t>
      </w:r>
    </w:p>
    <w:p>
      <w:pPr>
        <w:spacing w:after="200"/>
      </w:pPr>
    </w:p>
    <w:p>
      <w:pPr>
        <w:spacing w:after="120"/>
      </w:pPr>
      <w:r>
        <w:rPr>
          <w:rFonts w:ascii="Arial" w:cs="Arial" w:eastAsia="Arial" w:hAnsi="Arial"/>
          <w:b/>
          <w:bCs/>
          <w:i/>
          <w:iCs/>
          <w:color w:val="555555"/>
          <w:sz w:val="20"/>
          <w:szCs w:val="20"/>
        </w:rPr>
        <w:t xml:space="preserve">Classification Keywords: </w:t>
      </w:r>
    </w:p>
    <w:p>
      <w:pPr>
        <w:spacing w:after="120"/>
      </w:pPr>
      <w:r>
        <w:rPr>
          <w:rFonts w:ascii="Arial" w:cs="Arial" w:eastAsia="Arial" w:hAnsi="Arial"/>
          <w:sz w:val="22"/>
          <w:szCs w:val="22"/>
        </w:rPr>
        <w:t xml:space="default">invoice, payment, AP, AR, accounts payable, accounts receivable, revenue, royalty check, severance tax, ad valorem, audit, CPA, financial statement, insurance, COI, certificate of insurance, wire, ACH, bank statement, 1099, K-1, tax return, JIB, joint interest billing, check run, month-end, general ledger, GL</w:t>
      </w:r>
    </w:p>
    <w:p>
      <w:pPr>
        <w:spacing w:after="200"/>
      </w:pPr>
    </w:p>
    <w:p>
      <w:pPr>
        <w:pBdr>
          <w:bottom w:val="single" w:color="B4C6D9" w:sz="2" w:space="4"/>
        </w:pBdr>
        <w:spacing w:after="200"/>
      </w:pPr>
    </w:p>
    <w:p>
      <w:pPr>
        <w:pStyle w:val="Heading3"/>
      </w:pPr>
      <w:r>
        <w:t xml:space="preserve">10 - People &amp; Admin</w:t>
      </w:r>
    </w:p>
    <w:p>
      <w:pPr>
        <w:spacing w:after="120"/>
      </w:pPr>
      <w:r>
        <w:rPr>
          <w:rFonts w:ascii="Arial" w:cs="Arial" w:eastAsia="Arial" w:hAnsi="Arial"/>
          <w:sz w:val="22"/>
          <w:szCs w:val="22"/>
        </w:rPr>
        <w:t xml:space="preserve">HR, recruiting, benefits, payroll, office administration, IT systems, general vendors/service providers not tied to a specific well or project.</w:t>
      </w:r>
    </w:p>
    <w:p>
      <w:pPr>
        <w:spacing w:after="200"/>
      </w:pPr>
    </w:p>
    <w:p>
      <w:pPr>
        <w:spacing w:after="120"/>
      </w:pPr>
      <w:r>
        <w:rPr>
          <w:rFonts w:ascii="Arial" w:cs="Arial" w:eastAsia="Arial" w:hAnsi="Arial"/>
          <w:b/>
          <w:bCs/>
          <w:sz w:val="22"/>
          <w:szCs w:val="22"/>
        </w:rPr>
        <w:t xml:space="preserve">Subfolders:</w:t>
      </w:r>
    </w:p>
    <w:p>
      <w:pPr>
        <w:pStyle w:val="ListParagraph"/>
        <w:numPr>
          <w:ilvl w:val="0"/>
          <w:numId w:val="2"/>
        </w:numPr>
        <w:spacing w:after="80"/>
      </w:pPr>
      <w:r>
        <w:rPr>
          <w:rFonts w:ascii="Arial" w:cs="Arial" w:eastAsia="Arial" w:hAnsi="Arial"/>
          <w:sz w:val="22"/>
          <w:szCs w:val="22"/>
        </w:rPr>
        <w:t xml:space="preserve">HR / Team</w:t>
      </w:r>
    </w:p>
    <w:p>
      <w:pPr>
        <w:pStyle w:val="ListParagraph"/>
        <w:numPr>
          <w:ilvl w:val="0"/>
          <w:numId w:val="2"/>
        </w:numPr>
        <w:spacing w:after="80"/>
      </w:pPr>
      <w:r>
        <w:rPr>
          <w:rFonts w:ascii="Arial" w:cs="Arial" w:eastAsia="Arial" w:hAnsi="Arial"/>
          <w:sz w:val="22"/>
          <w:szCs w:val="22"/>
        </w:rPr>
        <w:t xml:space="preserve">IT / Systems</w:t>
      </w:r>
    </w:p>
    <w:p>
      <w:pPr>
        <w:pStyle w:val="ListParagraph"/>
        <w:numPr>
          <w:ilvl w:val="0"/>
          <w:numId w:val="2"/>
        </w:numPr>
        <w:spacing w:after="80"/>
      </w:pPr>
      <w:r>
        <w:rPr>
          <w:rFonts w:ascii="Arial" w:cs="Arial" w:eastAsia="Arial" w:hAnsi="Arial"/>
          <w:sz w:val="22"/>
          <w:szCs w:val="22"/>
        </w:rPr>
        <w:t xml:space="preserve">Vendors &amp; Services</w:t>
      </w:r>
    </w:p>
    <w:p>
      <w:pPr>
        <w:pStyle w:val="ListParagraph"/>
        <w:numPr>
          <w:ilvl w:val="0"/>
          <w:numId w:val="2"/>
        </w:numPr>
        <w:spacing w:after="80"/>
      </w:pPr>
      <w:r>
        <w:rPr>
          <w:rFonts w:ascii="Arial" w:cs="Arial" w:eastAsia="Arial" w:hAnsi="Arial"/>
          <w:sz w:val="22"/>
          <w:szCs w:val="22"/>
        </w:rPr>
        <w:t xml:space="preserve">Office / Admin</w:t>
      </w:r>
    </w:p>
    <w:p>
      <w:pPr>
        <w:spacing w:after="200"/>
      </w:pPr>
    </w:p>
    <w:p>
      <w:pPr>
        <w:spacing w:after="120"/>
      </w:pPr>
      <w:r>
        <w:rPr>
          <w:rFonts w:ascii="Arial" w:cs="Arial" w:eastAsia="Arial" w:hAnsi="Arial"/>
          <w:b/>
          <w:bCs/>
          <w:sz w:val="22"/>
          <w:szCs w:val="22"/>
        </w:rPr>
        <w:t xml:space="preserve">Filing Rule: </w:t>
      </w:r>
      <w:r>
        <w:rPr>
          <w:rFonts w:ascii="Arial" w:cs="Arial" w:eastAsia="Arial" w:hAnsi="Arial"/>
          <w:sz w:val="22"/>
          <w:szCs w:val="22"/>
        </w:rPr>
        <w:t xml:space="preserve">Internal company operations that aren’t about any specific asset or deal. Hiring, benefits, office lease, IT setup, general vendor relationships. If a vendor is doing work on a specific well (e.g., a frac crew), that goes in Engineering or Operations, not here.</w:t>
      </w:r>
    </w:p>
    <w:p>
      <w:pPr>
        <w:spacing w:after="200"/>
      </w:pPr>
    </w:p>
    <w:p>
      <w:pPr>
        <w:spacing w:after="120"/>
      </w:pPr>
      <w:r>
        <w:rPr>
          <w:rFonts w:ascii="Arial" w:cs="Arial" w:eastAsia="Arial" w:hAnsi="Arial"/>
          <w:b/>
          <w:bCs/>
          <w:i/>
          <w:iCs/>
          <w:color w:val="555555"/>
          <w:sz w:val="20"/>
          <w:szCs w:val="20"/>
        </w:rPr>
        <w:t xml:space="preserve">Classification Keywords: </w:t>
      </w:r>
    </w:p>
    <w:p>
      <w:pPr>
        <w:spacing w:after="120"/>
      </w:pPr>
      <w:r>
        <w:rPr>
          <w:rFonts w:ascii="Arial" w:cs="Arial" w:eastAsia="Arial" w:hAnsi="Arial"/>
          <w:sz w:val="22"/>
          <w:szCs w:val="22"/>
        </w:rPr>
        <w:t xml:space="default">hire, recruit, resume, benefits, 401k, payroll, PTO, office, lease, furniture, IT, software, license, computer, phone, admin, vendor, consultant, contractor, HR, employee, onboarding, termination</w:t>
      </w:r>
    </w:p>
    <w:p>
      <w:pPr>
        <w:spacing w:after="200"/>
      </w:pPr>
    </w:p>
    <w:p>
      <w:pPr>
        <w:pBdr>
          <w:bottom w:val="single" w:color="B4C6D9" w:sz="2" w:space="4"/>
        </w:pBdr>
        <w:spacing w:after="200"/>
      </w:pPr>
    </w:p>
    <w:p>
      <w:pPr>
        <w:pStyle w:val="Heading3"/>
      </w:pPr>
      <w:r>
        <w:t xml:space="preserve">11 - Industry &amp; External</w:t>
      </w:r>
    </w:p>
    <w:p>
      <w:pPr>
        <w:spacing w:after="120"/>
      </w:pPr>
      <w:r>
        <w:rPr>
          <w:rFonts w:ascii="Arial" w:cs="Arial" w:eastAsia="Arial" w:hAnsi="Arial"/>
          <w:sz w:val="22"/>
          <w:szCs w:val="22"/>
        </w:rPr>
        <w:t xml:space="preserve">Industry associations (TIPRO, IPAA, PBPA, etc.), conferences, speaking engagements, networking, market intelligence, commodity price analysis, media, thought leadership.</w:t>
      </w:r>
    </w:p>
    <w:p>
      <w:pPr>
        <w:spacing w:after="200"/>
      </w:pPr>
    </w:p>
    <w:p>
      <w:pPr>
        <w:spacing w:after="120"/>
      </w:pPr>
      <w:r>
        <w:rPr>
          <w:rFonts w:ascii="Arial" w:cs="Arial" w:eastAsia="Arial" w:hAnsi="Arial"/>
          <w:b/>
          <w:bCs/>
          <w:sz w:val="22"/>
          <w:szCs w:val="22"/>
        </w:rPr>
        <w:t xml:space="preserve">Subfolders:</w:t>
      </w:r>
    </w:p>
    <w:p>
      <w:pPr>
        <w:pStyle w:val="ListParagraph"/>
        <w:numPr>
          <w:ilvl w:val="0"/>
          <w:numId w:val="2"/>
        </w:numPr>
        <w:spacing w:after="80"/>
      </w:pPr>
      <w:r>
        <w:rPr>
          <w:rFonts w:ascii="Arial" w:cs="Arial" w:eastAsia="Arial" w:hAnsi="Arial"/>
          <w:sz w:val="22"/>
          <w:szCs w:val="22"/>
        </w:rPr>
        <w:t xml:space="preserve">Associations &amp; Memberships</w:t>
      </w:r>
    </w:p>
    <w:p>
      <w:pPr>
        <w:pStyle w:val="ListParagraph"/>
        <w:numPr>
          <w:ilvl w:val="0"/>
          <w:numId w:val="2"/>
        </w:numPr>
        <w:spacing w:after="80"/>
      </w:pPr>
      <w:r>
        <w:rPr>
          <w:rFonts w:ascii="Arial" w:cs="Arial" w:eastAsia="Arial" w:hAnsi="Arial"/>
          <w:sz w:val="22"/>
          <w:szCs w:val="22"/>
        </w:rPr>
        <w:t xml:space="preserve">Conferences &amp; Events</w:t>
      </w:r>
    </w:p>
    <w:p>
      <w:pPr>
        <w:pStyle w:val="ListParagraph"/>
        <w:numPr>
          <w:ilvl w:val="0"/>
          <w:numId w:val="2"/>
        </w:numPr>
        <w:spacing w:after="80"/>
      </w:pPr>
      <w:r>
        <w:rPr>
          <w:rFonts w:ascii="Arial" w:cs="Arial" w:eastAsia="Arial" w:hAnsi="Arial"/>
          <w:sz w:val="22"/>
          <w:szCs w:val="22"/>
        </w:rPr>
        <w:t xml:space="preserve">Market Intelligence</w:t>
      </w:r>
    </w:p>
    <w:p>
      <w:pPr>
        <w:spacing w:after="200"/>
      </w:pPr>
    </w:p>
    <w:p>
      <w:pPr>
        <w:spacing w:after="120"/>
      </w:pPr>
      <w:r>
        <w:rPr>
          <w:rFonts w:ascii="Arial" w:cs="Arial" w:eastAsia="Arial" w:hAnsi="Arial"/>
          <w:b/>
          <w:bCs/>
          <w:sz w:val="22"/>
          <w:szCs w:val="22"/>
        </w:rPr>
        <w:t xml:space="preserve">Filing Rule: </w:t>
      </w:r>
      <w:r>
        <w:rPr>
          <w:rFonts w:ascii="Arial" w:cs="Arial" w:eastAsia="Arial" w:hAnsi="Arial"/>
          <w:sz w:val="22"/>
          <w:szCs w:val="22"/>
        </w:rPr>
        <w:t xml:space="preserve">Anything about the industry at large rather than Peak 10 specifically. Conference invitations, association dues, industry reports, networking introductions, media inquiries. If a networking contact turns into a deal conversation, move the thread to BD.</w:t>
      </w:r>
    </w:p>
    <w:p>
      <w:pPr>
        <w:spacing w:after="200"/>
      </w:pPr>
    </w:p>
    <w:p>
      <w:pPr>
        <w:spacing w:after="120"/>
      </w:pPr>
      <w:r>
        <w:rPr>
          <w:rFonts w:ascii="Arial" w:cs="Arial" w:eastAsia="Arial" w:hAnsi="Arial"/>
          <w:b/>
          <w:bCs/>
          <w:i/>
          <w:iCs/>
          <w:color w:val="555555"/>
          <w:sz w:val="20"/>
          <w:szCs w:val="20"/>
        </w:rPr>
        <w:t xml:space="preserve">Classification Keywords: </w:t>
      </w:r>
    </w:p>
    <w:p>
      <w:pPr>
        <w:spacing w:after="120"/>
      </w:pPr>
      <w:r>
        <w:rPr>
          <w:rFonts w:ascii="Arial" w:cs="Arial" w:eastAsia="Arial" w:hAnsi="Arial"/>
          <w:sz w:val="22"/>
          <w:szCs w:val="22"/>
        </w:rPr>
        <w:t xml:space="default">TIPRO, IPAA, PBPA, NAPE, conference, convention, speaker, panel, membership, dues, market report, commodity, WTI, Henry Hub, rig count, industry, association, networking, introduction, media, press, interview</w:t>
      </w:r>
    </w:p>
    <w:p>
      <w:pPr>
        <w:spacing w:after="200"/>
      </w:pPr>
    </w:p>
    <w:p>
      <w:pPr>
        <w:pBdr>
          <w:bottom w:val="single" w:color="B4C6D9" w:sz="2" w:space="4"/>
        </w:pBdr>
        <w:spacing w:after="200"/>
      </w:pPr>
    </w:p>
    <w:p>
      <w:pPr>
        <w:pStyle w:val="Heading2"/>
      </w:pPr>
      <w:r>
        <w:t xml:space="preserve">Archive Folder</w:t>
      </w:r>
    </w:p>
    <w:p>
      <w:pPr>
        <w:spacing w:after="120"/>
      </w:pPr>
      <w:r>
        <w:rPr>
          <w:rFonts w:ascii="Arial" w:cs="Arial" w:eastAsia="Arial" w:hAnsi="Arial"/>
          <w:sz w:val="22"/>
          <w:szCs w:val="22"/>
        </w:rPr>
        <w:t xml:space="preserve">A top-level “Archive” folder mirrors the exact same structure:</w:t>
      </w:r>
    </w:p>
    <w:p>
      <w:pPr>
        <w:spacing w:after="200"/>
      </w:pPr>
    </w:p>
    <w:p>
      <w:pPr>
        <w:pStyle w:val="ListParagraph"/>
        <w:numPr>
          <w:ilvl w:val="0"/>
          <w:numId w:val="2"/>
        </w:numPr>
        <w:spacing w:after="80"/>
      </w:pPr>
      <w:r>
        <w:rPr>
          <w:rFonts w:ascii="Arial" w:cs="Arial" w:eastAsia="Arial" w:hAnsi="Arial"/>
          <w:sz w:val="22"/>
          <w:szCs w:val="22"/>
        </w:rPr>
        <w:t xml:space="preserve">Archive &gt; 01 - Operations &gt; [same subfolders]</w:t>
      </w:r>
    </w:p>
    <w:p>
      <w:pPr>
        <w:pStyle w:val="ListParagraph"/>
        <w:numPr>
          <w:ilvl w:val="0"/>
          <w:numId w:val="2"/>
        </w:numPr>
        <w:spacing w:after="80"/>
      </w:pPr>
      <w:r>
        <w:rPr>
          <w:rFonts w:ascii="Arial" w:cs="Arial" w:eastAsia="Arial" w:hAnsi="Arial"/>
          <w:sz w:val="22"/>
          <w:szCs w:val="22"/>
        </w:rPr>
        <w:t xml:space="preserve">Archive &gt; 02 - Land &amp; Title &gt; [same subfolders]</w:t>
      </w:r>
    </w:p>
    <w:p>
      <w:pPr>
        <w:pStyle w:val="ListParagraph"/>
        <w:numPr>
          <w:ilvl w:val="0"/>
          <w:numId w:val="2"/>
        </w:numPr>
        <w:spacing w:after="80"/>
      </w:pPr>
      <w:r>
        <w:rPr>
          <w:rFonts w:ascii="Arial" w:cs="Arial" w:eastAsia="Arial" w:hAnsi="Arial"/>
          <w:sz w:val="22"/>
          <w:szCs w:val="22"/>
        </w:rPr>
        <w:t xml:space="preserve">Archive &gt; ... (all 11 functional folders replicated)</w:t>
      </w:r>
    </w:p>
    <w:p>
      <w:pPr>
        <w:spacing w:after="200"/>
      </w:pPr>
    </w:p>
    <w:p>
      <w:pPr>
        <w:spacing w:after="120"/>
      </w:pPr>
      <w:r>
        <w:rPr>
          <w:rFonts w:ascii="Arial" w:cs="Arial" w:eastAsia="Arial" w:hAnsi="Arial"/>
          <w:b/>
          <w:bCs/>
          <w:sz w:val="22"/>
          <w:szCs w:val="22"/>
        </w:rPr>
        <w:t xml:space="preserve">Archive behavior: </w:t>
      </w:r>
      <w:r>
        <w:rPr>
          <w:rFonts w:ascii="Arial" w:cs="Arial" w:eastAsia="Arial" w:hAnsi="Arial"/>
          <w:sz w:val="22"/>
          <w:szCs w:val="22"/>
        </w:rPr>
        <w:t xml:space="preserve">Emails older than 90 days move from the working functional folder to the corresponding Archive subfolder during the quarterly archive purge. Exception: emails in active deal threads or active litigation stay in the working folder regardless of age.</w:t>
      </w:r>
    </w:p>
    <w:p>
      <w:pPr>
        <w:spacing w:after="200"/>
      </w:pPr>
    </w:p>
    <w:p>
      <w:r>
        <w:br w:type="page"/>
      </w:r>
    </w:p>
    <w:p>
      <w:pPr>
        <w:pStyle w:val="Heading1"/>
      </w:pPr>
      <w:r>
        <w:t xml:space="preserve">Dynamic Subfolders — How New Projects Get Folders</w:t>
      </w:r>
    </w:p>
    <w:p>
      <w:pPr>
        <w:shd w:fill="FFF8E1" w:val="clear"/>
        <w:spacing w:before="80" w:after="80"/>
      </w:pPr>
      <w:r>
        <w:rPr>
          <w:rFonts w:ascii="Arial" w:cs="Arial" w:eastAsia="Arial" w:hAnsi="Arial"/>
          <w:b/>
          <w:bCs/>
          <w:color w:val="B8860B"/>
          <w:sz w:val="20"/>
          <w:szCs w:val="20"/>
        </w:rPr>
        <w:t xml:space="preserve">✏️ UPDATED: </w:t>
      </w:r>
      <w:r>
        <w:rPr>
          <w:rFonts w:ascii="Arial" w:cs="Arial" w:eastAsia="Arial" w:hAnsi="Arial"/>
          <w:color w:val="5D4037"/>
          <w:sz w:val="20"/>
          <w:szCs w:val="20"/>
        </w:rPr>
        <w:t xml:space="preserve">New section added in v1.1 per CEO feedback on Engineering &amp; Geology dynamic folder question.</w:t>
      </w:r>
    </w:p>
    <w:p>
      <w:pPr>
        <w:spacing w:after="200"/>
      </w:pPr>
    </w:p>
    <w:p>
      <w:pPr>
        <w:spacing w:after="120"/>
      </w:pPr>
      <w:r>
        <w:rPr>
          <w:rFonts w:ascii="Arial" w:cs="Arial" w:eastAsia="Arial" w:hAnsi="Arial"/>
          <w:sz w:val="22"/>
          <w:szCs w:val="22"/>
        </w:rPr>
        <w:t xml:space="preserve">Several functional folders have subfolders that are created per-project, per-asset, per-well, or per-deal. These are marked as “created on confirmation” in the structure above. Here is exactly how that works:</w:t>
      </w:r>
    </w:p>
    <w:p>
      <w:pPr>
        <w:spacing w:after="200"/>
      </w:pPr>
    </w:p>
    <w:p>
      <w:pPr>
        <w:pStyle w:val="Heading3"/>
      </w:pPr>
      <w:r>
        <w:t xml:space="preserve">Detection</w:t>
      </w:r>
    </w:p>
    <w:p>
      <w:pPr>
        <w:spacing w:after="120"/>
      </w:pPr>
      <w:r>
        <w:rPr>
          <w:rFonts w:ascii="Arial" w:cs="Arial" w:eastAsia="Arial" w:hAnsi="Arial"/>
          <w:sz w:val="22"/>
          <w:szCs w:val="22"/>
        </w:rPr>
        <w:t xml:space="preserve">The email intelligence system (Phase 3 app) continuously scans incoming emails. When it identifies a project name, well name, asset name, or deal name that appears consistently across 3+ emails and does NOT match any existing subfolder, it flags it as a potential new project.</w:t>
      </w:r>
    </w:p>
    <w:p>
      <w:pPr>
        <w:spacing w:after="200"/>
      </w:pPr>
    </w:p>
    <w:p>
      <w:pPr>
        <w:spacing w:after="120"/>
      </w:pPr>
      <w:r>
        <w:rPr>
          <w:rFonts w:ascii="Arial" w:cs="Arial" w:eastAsia="Arial" w:hAnsi="Arial"/>
          <w:b/>
          <w:bCs/>
          <w:sz w:val="22"/>
          <w:szCs w:val="22"/>
        </w:rPr>
        <w:t xml:space="preserve">Detection signals include: </w:t>
      </w:r>
    </w:p>
    <w:p>
      <w:pPr>
        <w:pStyle w:val="ListParagraph"/>
        <w:numPr>
          <w:ilvl w:val="0"/>
          <w:numId w:val="2"/>
        </w:numPr>
        <w:spacing w:after="80"/>
      </w:pPr>
      <w:r>
        <w:rPr>
          <w:rFonts w:ascii="Arial" w:cs="Arial" w:eastAsia="Arial" w:hAnsi="Arial"/>
          <w:sz w:val="22"/>
          <w:szCs w:val="22"/>
        </w:rPr>
        <w:t xml:space="preserve">Repeated references to a name not yet in the folder structure (e.g., a new prospect name like “Eagle Pass” appearing in Land and Engineering emails)</w:t>
      </w:r>
    </w:p>
    <w:p>
      <w:pPr>
        <w:pStyle w:val="ListParagraph"/>
        <w:numPr>
          <w:ilvl w:val="0"/>
          <w:numId w:val="2"/>
        </w:numPr>
        <w:spacing w:after="80"/>
      </w:pPr>
      <w:r>
        <w:rPr>
          <w:rFonts w:ascii="Arial" w:cs="Arial" w:eastAsia="Arial" w:hAnsi="Arial"/>
          <w:sz w:val="22"/>
          <w:szCs w:val="22"/>
        </w:rPr>
        <w:t xml:space="preserve">AFE documents referencing a new well name</w:t>
      </w:r>
    </w:p>
    <w:p>
      <w:pPr>
        <w:pStyle w:val="ListParagraph"/>
        <w:numPr>
          <w:ilvl w:val="0"/>
          <w:numId w:val="2"/>
        </w:numPr>
        <w:spacing w:after="80"/>
      </w:pPr>
      <w:r>
        <w:rPr>
          <w:rFonts w:ascii="Arial" w:cs="Arial" w:eastAsia="Arial" w:hAnsi="Arial"/>
          <w:sz w:val="22"/>
          <w:szCs w:val="22"/>
        </w:rPr>
        <w:t xml:space="preserve">LOI or PSA documents referencing a new deal name</w:t>
      </w:r>
    </w:p>
    <w:p>
      <w:pPr>
        <w:pStyle w:val="ListParagraph"/>
        <w:numPr>
          <w:ilvl w:val="0"/>
          <w:numId w:val="2"/>
        </w:numPr>
        <w:spacing w:after="80"/>
      </w:pPr>
      <w:r>
        <w:rPr>
          <w:rFonts w:ascii="Arial" w:cs="Arial" w:eastAsia="Arial" w:hAnsi="Arial"/>
          <w:sz w:val="22"/>
          <w:szCs w:val="22"/>
        </w:rPr>
        <w:t xml:space="preserve">New operator or partner name in JV correspondence</w:t>
      </w:r>
    </w:p>
    <w:p>
      <w:pPr>
        <w:spacing w:after="200"/>
      </w:pPr>
    </w:p>
    <w:p>
      <w:pPr>
        <w:pStyle w:val="Heading3"/>
      </w:pPr>
      <w:r>
        <w:t xml:space="preserve">Confirmation</w:t>
      </w:r>
    </w:p>
    <w:p>
      <w:pPr>
        <w:spacing w:after="120"/>
      </w:pPr>
      <w:r>
        <w:rPr>
          <w:rFonts w:ascii="Arial" w:cs="Arial" w:eastAsia="Arial" w:hAnsi="Arial"/>
          <w:b/>
          <w:bCs/>
          <w:sz w:val="22"/>
          <w:szCs w:val="22"/>
        </w:rPr>
        <w:t xml:space="preserve">No subfolder is ever created automatically. </w:t>
      </w:r>
      <w:r>
        <w:rPr>
          <w:rFonts w:ascii="Arial" w:cs="Arial" w:eastAsia="Arial" w:hAnsi="Arial"/>
          <w:sz w:val="22"/>
          <w:szCs w:val="22"/>
        </w:rPr>
        <w:t xml:space="preserve">The system presents a notification in the app:</w:t>
      </w:r>
    </w:p>
    <w:p>
      <w:pPr>
        <w:spacing w:after="200"/>
      </w:pPr>
    </w:p>
    <w:p>
      <w:pPr>
        <w:spacing w:after="120"/>
      </w:pPr>
      <w:r>
        <w:rPr>
          <w:rFonts w:ascii="Arial" w:cs="Arial" w:eastAsia="Arial" w:hAnsi="Arial"/>
          <w:i/>
          <w:iCs/>
          <w:sz w:val="22"/>
          <w:szCs w:val="22"/>
        </w:rPr>
        <w:t xml:space="preserve">Example: </w:t>
      </w:r>
      <w:r>
        <w:rPr>
          <w:rFonts w:ascii="Arial" w:cs="Arial" w:eastAsia="Arial" w:hAnsi="Arial"/>
          <w:i/>
          <w:iCs/>
          <w:sz w:val="22"/>
          <w:szCs w:val="22"/>
        </w:rPr>
        <w:t xml:space="preserve">“New project detected: ‘Maverick #1H’ — referenced in 5 emails over the past 2 weeks. Create subfolder under 03 - Engineering &amp; Geology?”</w:t>
      </w:r>
    </w:p>
    <w:p>
      <w:pPr>
        <w:spacing w:after="200"/>
      </w:pPr>
    </w:p>
    <w:p>
      <w:pPr>
        <w:spacing w:after="120"/>
      </w:pPr>
      <w:r>
        <w:rPr>
          <w:rFonts w:ascii="Arial" w:cs="Arial" w:eastAsia="Arial" w:hAnsi="Arial"/>
          <w:sz w:val="22"/>
          <w:szCs w:val="22"/>
        </w:rPr>
        <w:t xml:space="preserve">You have three options:</w:t>
      </w:r>
    </w:p>
    <w:p>
      <w:pPr>
        <w:pStyle w:val="ListParagraph"/>
        <w:numPr>
          <w:ilvl w:val="0"/>
          <w:numId w:val="2"/>
        </w:numPr>
        <w:spacing w:after="80"/>
      </w:pPr>
      <w:r>
        <w:rPr>
          <w:rFonts w:ascii="Arial" w:cs="Arial" w:eastAsia="Arial" w:hAnsi="Arial"/>
          <w:b/>
          <w:bCs/>
          <w:sz w:val="22"/>
          <w:szCs w:val="22"/>
        </w:rPr>
        <w:t xml:space="preserve">Confirm: </w:t>
      </w:r>
      <w:r>
        <w:rPr>
          <w:rFonts w:ascii="Arial" w:cs="Arial" w:eastAsia="Arial" w:hAnsi="Arial"/>
          <w:sz w:val="22"/>
          <w:szCs w:val="22"/>
        </w:rPr>
        <w:t xml:space="preserve">Subfolder is created. Future emails matching this project auto-file there.</w:t>
      </w:r>
    </w:p>
    <w:p>
      <w:pPr>
        <w:pStyle w:val="ListParagraph"/>
        <w:numPr>
          <w:ilvl w:val="0"/>
          <w:numId w:val="2"/>
        </w:numPr>
        <w:spacing w:after="80"/>
      </w:pPr>
      <w:r>
        <w:rPr>
          <w:rFonts w:ascii="Arial" w:cs="Arial" w:eastAsia="Arial" w:hAnsi="Arial"/>
          <w:b/>
          <w:bCs/>
          <w:sz w:val="22"/>
          <w:szCs w:val="22"/>
        </w:rPr>
        <w:t xml:space="preserve">Rename &amp; Confirm: </w:t>
      </w:r>
      <w:r>
        <w:rPr>
          <w:rFonts w:ascii="Arial" w:cs="Arial" w:eastAsia="Arial" w:hAnsi="Arial"/>
          <w:sz w:val="22"/>
          <w:szCs w:val="22"/>
        </w:rPr>
        <w:t xml:space="preserve">You adjust the name (e.g., from “Maverick” to “Maverick #1H - Karnes Co”) and confirm.</w:t>
      </w:r>
    </w:p>
    <w:p>
      <w:pPr>
        <w:pStyle w:val="ListParagraph"/>
        <w:numPr>
          <w:ilvl w:val="0"/>
          <w:numId w:val="2"/>
        </w:numPr>
        <w:spacing w:after="80"/>
      </w:pPr>
      <w:r>
        <w:rPr>
          <w:rFonts w:ascii="Arial" w:cs="Arial" w:eastAsia="Arial" w:hAnsi="Arial"/>
          <w:b/>
          <w:bCs/>
          <w:sz w:val="22"/>
          <w:szCs w:val="22"/>
        </w:rPr>
        <w:t xml:space="preserve">Dismiss: </w:t>
      </w:r>
      <w:r>
        <w:rPr>
          <w:rFonts w:ascii="Arial" w:cs="Arial" w:eastAsia="Arial" w:hAnsi="Arial"/>
          <w:sz w:val="22"/>
          <w:szCs w:val="22"/>
        </w:rPr>
        <w:t xml:space="preserve">The system will not ask again about this name unless activity increases significantly.</w:t>
      </w:r>
    </w:p>
    <w:p>
      <w:pPr>
        <w:spacing w:after="200"/>
      </w:pPr>
    </w:p>
    <w:p>
      <w:pPr>
        <w:pStyle w:val="Heading3"/>
      </w:pPr>
      <w:r>
        <w:t xml:space="preserve">Which Folders Get Dynamic Subfolders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w:tc>
          <w:tcPr>
            <w:tcW w:type="dxa" w:w="28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28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Dynamic Subfolder Type</w:t>
            </w:r>
          </w:p>
        </w:tc>
        <w:tc>
          <w:tcPr>
            <w:tcW w:type="dxa" w:w="44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Trigger</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01 - Operations</w:t>
            </w:r>
          </w:p>
        </w:tc>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Asset / Field name</w:t>
            </w:r>
          </w:p>
        </w:tc>
        <w:tc>
          <w:tcPr>
            <w:tcW w:type="dxa" w:w="4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New asset name in production reports or field emails</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02 - Land &amp; Title</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Prospect / Area name</w:t>
            </w:r>
          </w:p>
        </w:tc>
        <w:tc>
          <w:tcPr>
            <w:tcW w:type="dxa" w:w="44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New area name in lease or landman correspondence</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03 - Engineering &amp; Geology</w:t>
            </w:r>
          </w:p>
        </w:tc>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Well name / Project</w:t>
            </w:r>
          </w:p>
        </w:tc>
        <w:tc>
          <w:tcPr>
            <w:tcW w:type="dxa" w:w="4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New well name in AFEs, drilling plans, or engineering emails</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04 - BD &amp; Deals</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Deal name</w:t>
            </w:r>
          </w:p>
        </w:tc>
        <w:tc>
          <w:tcPr>
            <w:tcW w:type="dxa" w:w="44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New deal name in LOIs, PSAs, or broker packages</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06 - JV &amp; Partners</w:t>
            </w:r>
          </w:p>
        </w:tc>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Partner / JV name</w:t>
            </w:r>
          </w:p>
        </w:tc>
        <w:tc>
          <w:tcPr>
            <w:tcW w:type="dxa" w:w="4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New partner name in JOA or WI correspondence</w:t>
            </w:r>
          </w:p>
        </w:tc>
      </w:tr>
    </w:tbl>
    <w:p>
      <w:pPr>
        <w:spacing w:after="200"/>
      </w:pPr>
    </w:p>
    <w:p>
      <w:r>
        <w:br w:type="page"/>
      </w:r>
    </w:p>
    <w:p>
      <w:pPr>
        <w:pStyle w:val="Heading1"/>
      </w:pPr>
      <w:r>
        <w:t xml:space="preserve">Deal Lifecycle Intelligence — Active to Dead and Back</w:t>
      </w:r>
    </w:p>
    <w:p>
      <w:pPr>
        <w:shd w:fill="FFF8E1" w:val="clear"/>
        <w:spacing w:before="80" w:after="80"/>
      </w:pPr>
      <w:r>
        <w:rPr>
          <w:rFonts w:ascii="Arial" w:cs="Arial" w:eastAsia="Arial" w:hAnsi="Arial"/>
          <w:b/>
          <w:bCs/>
          <w:color w:val="B8860B"/>
          <w:sz w:val="20"/>
          <w:szCs w:val="20"/>
        </w:rPr>
        <w:t xml:space="preserve">✏️ UPDATED: </w:t>
      </w:r>
      <w:r>
        <w:rPr>
          <w:rFonts w:ascii="Arial" w:cs="Arial" w:eastAsia="Arial" w:hAnsi="Arial"/>
          <w:color w:val="5D4037"/>
          <w:sz w:val="20"/>
          <w:szCs w:val="20"/>
        </w:rPr>
        <w:t xml:space="preserve">New section added in v1.1 per CEO feedback on Dead Deal management.</w:t>
      </w:r>
    </w:p>
    <w:p>
      <w:pPr>
        <w:spacing w:after="200"/>
      </w:pPr>
    </w:p>
    <w:p>
      <w:pPr>
        <w:spacing w:after="120"/>
      </w:pPr>
      <w:r>
        <w:rPr>
          <w:rFonts w:ascii="Arial" w:cs="Arial" w:eastAsia="Arial" w:hAnsi="Arial"/>
          <w:sz w:val="22"/>
          <w:szCs w:val="22"/>
        </w:rPr>
        <w:t xml:space="preserve">The Business Development &amp; Deals folder includes both “Active Deals” and “Dead Deals” subfolders. Moving deals between these states is a significant decision that should never happen automatically. The system manages this bidirectionally with explicit approval at every step.</w:t>
      </w:r>
    </w:p>
    <w:p>
      <w:pPr>
        <w:spacing w:after="200"/>
      </w:pPr>
    </w:p>
    <w:p>
      <w:pPr>
        <w:pStyle w:val="Heading3"/>
      </w:pPr>
      <w:r>
        <w:t xml:space="preserve">Active → Dead Deal</w:t>
      </w: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The system monitors email activity on each active deal thread. When a deal has had zero new email activity for a configurable period (default: 60 days), it flags the deal for review.</w:t>
      </w:r>
    </w:p>
    <w:p>
      <w:pPr>
        <w:spacing w:after="200"/>
      </w:pPr>
    </w:p>
    <w:p>
      <w:pPr>
        <w:spacing w:after="120"/>
      </w:pPr>
      <w:r>
        <w:rPr>
          <w:rFonts w:ascii="Arial" w:cs="Arial" w:eastAsia="Arial" w:hAnsi="Arial"/>
          <w:i/>
          <w:iCs/>
          <w:sz w:val="22"/>
          <w:szCs w:val="22"/>
        </w:rPr>
        <w:t xml:space="preserve">Notification: </w:t>
      </w:r>
      <w:r>
        <w:rPr>
          <w:rFonts w:ascii="Arial" w:cs="Arial" w:eastAsia="Arial" w:hAnsi="Arial"/>
          <w:i/>
          <w:iCs/>
          <w:sz w:val="22"/>
          <w:szCs w:val="22"/>
        </w:rPr>
        <w:t xml:space="preserve">“Deal ‘Permian Basin Package’ has had no email activity in 62 days. Move to Dead Deals?”</w:t>
      </w:r>
    </w:p>
    <w:p>
      <w:pPr>
        <w:spacing w:after="200"/>
      </w:pPr>
    </w:p>
    <w:p>
      <w:pPr>
        <w:spacing w:after="120"/>
      </w:pPr>
      <w:r>
        <w:rPr>
          <w:rFonts w:ascii="Arial" w:cs="Arial" w:eastAsia="Arial" w:hAnsi="Arial"/>
          <w:sz w:val="22"/>
          <w:szCs w:val="22"/>
        </w:rPr>
        <w:t xml:space="preserve">Your options:</w:t>
      </w:r>
    </w:p>
    <w:p>
      <w:pPr>
        <w:pStyle w:val="ListParagraph"/>
        <w:numPr>
          <w:ilvl w:val="0"/>
          <w:numId w:val="2"/>
        </w:numPr>
        <w:spacing w:after="80"/>
      </w:pPr>
      <w:r>
        <w:rPr>
          <w:rFonts w:ascii="Arial" w:cs="Arial" w:eastAsia="Arial" w:hAnsi="Arial"/>
          <w:b/>
          <w:bCs/>
          <w:sz w:val="22"/>
          <w:szCs w:val="22"/>
        </w:rPr>
        <w:t xml:space="preserve">Move to Dead Deals: </w:t>
      </w:r>
      <w:r>
        <w:rPr>
          <w:rFonts w:ascii="Arial" w:cs="Arial" w:eastAsia="Arial" w:hAnsi="Arial"/>
          <w:sz w:val="22"/>
          <w:szCs w:val="22"/>
        </w:rPr>
        <w:t xml:space="preserve">The deal’s subfolder and all contents move to Dead Deals &gt; [Deal Name]. All future emails matching this deal auto-file there.</w:t>
      </w:r>
    </w:p>
    <w:p>
      <w:pPr>
        <w:pStyle w:val="ListParagraph"/>
        <w:numPr>
          <w:ilvl w:val="0"/>
          <w:numId w:val="2"/>
        </w:numPr>
        <w:spacing w:after="80"/>
      </w:pPr>
      <w:r>
        <w:rPr>
          <w:rFonts w:ascii="Arial" w:cs="Arial" w:eastAsia="Arial" w:hAnsi="Arial"/>
          <w:b/>
          <w:bCs/>
          <w:sz w:val="22"/>
          <w:szCs w:val="22"/>
        </w:rPr>
        <w:t xml:space="preserve">Keep Active: </w:t>
      </w:r>
      <w:r>
        <w:rPr>
          <w:rFonts w:ascii="Arial" w:cs="Arial" w:eastAsia="Arial" w:hAnsi="Arial"/>
          <w:sz w:val="22"/>
          <w:szCs w:val="22"/>
        </w:rPr>
        <w:t xml:space="preserve">The deal stays in Active Deals. The system resets the inactivity clock and will check again after another 60 days.</w:t>
      </w:r>
    </w:p>
    <w:p>
      <w:pPr>
        <w:pStyle w:val="ListParagraph"/>
        <w:numPr>
          <w:ilvl w:val="0"/>
          <w:numId w:val="2"/>
        </w:numPr>
        <w:spacing w:after="80"/>
      </w:pPr>
      <w:r>
        <w:rPr>
          <w:rFonts w:ascii="Arial" w:cs="Arial" w:eastAsia="Arial" w:hAnsi="Arial"/>
          <w:b/>
          <w:bCs/>
          <w:sz w:val="22"/>
          <w:szCs w:val="22"/>
        </w:rPr>
        <w:t xml:space="preserve">Keep Active + Set Reminder: </w:t>
      </w:r>
      <w:r>
        <w:rPr>
          <w:rFonts w:ascii="Arial" w:cs="Arial" w:eastAsia="Arial" w:hAnsi="Arial"/>
          <w:sz w:val="22"/>
          <w:szCs w:val="22"/>
        </w:rPr>
        <w:t xml:space="preserve">Stays active, but the system creates a calendar suggestion for you to follow up with the counterparty.</w:t>
      </w:r>
    </w:p>
    <w:p>
      <w:pPr>
        <w:spacing w:after="200"/>
      </w:pPr>
    </w:p>
    <w:p>
      <w:pPr>
        <w:pStyle w:val="Heading3"/>
      </w:pPr>
      <w:r>
        <w:t xml:space="preserve">Dead Deal → Revived (Back to Active)</w:t>
      </w:r>
    </w:p>
    <w:p>
      <w:pPr>
        <w:spacing w:after="120"/>
      </w:pPr>
      <w:r>
        <w:rPr>
          <w:rFonts w:ascii="Arial" w:cs="Arial" w:eastAsia="Arial" w:hAnsi="Arial"/>
          <w:b/>
          <w:bCs/>
          <w:sz w:val="22"/>
          <w:szCs w:val="22"/>
        </w:rPr>
        <w:t xml:space="preserve">Trigger: </w:t>
      </w:r>
      <w:r>
        <w:rPr>
          <w:rFonts w:ascii="Arial" w:cs="Arial" w:eastAsia="Arial" w:hAnsi="Arial"/>
          <w:sz w:val="22"/>
          <w:szCs w:val="22"/>
        </w:rPr>
        <w:t xml:space="preserve">The system detects new email activity on a deal that’s currently in Dead Deals. It analyzes the tone and content of the new emails to assess whether the deal is genuinely reviving:</w:t>
      </w:r>
    </w:p>
    <w:p>
      <w:pPr>
        <w:spacing w:after="200"/>
      </w:pPr>
    </w:p>
    <w:p>
      <w:pPr>
        <w:pStyle w:val="ListParagraph"/>
        <w:numPr>
          <w:ilvl w:val="0"/>
          <w:numId w:val="2"/>
        </w:numPr>
        <w:spacing w:after="80"/>
      </w:pPr>
      <w:r>
        <w:rPr>
          <w:rFonts w:ascii="Arial" w:cs="Arial" w:eastAsia="Arial" w:hAnsi="Arial"/>
          <w:sz w:val="22"/>
          <w:szCs w:val="22"/>
        </w:rPr>
        <w:t xml:space="preserve">Re-engagement language: “wanted to revisit,” “circling back,” “new terms,” “updated pricing”</w:t>
      </w:r>
    </w:p>
    <w:p>
      <w:pPr>
        <w:pStyle w:val="ListParagraph"/>
        <w:numPr>
          <w:ilvl w:val="0"/>
          <w:numId w:val="2"/>
        </w:numPr>
        <w:spacing w:after="80"/>
      </w:pPr>
      <w:r>
        <w:rPr>
          <w:rFonts w:ascii="Arial" w:cs="Arial" w:eastAsia="Arial" w:hAnsi="Arial"/>
          <w:sz w:val="22"/>
          <w:szCs w:val="22"/>
        </w:rPr>
        <w:t xml:space="preserve">New participants entering the thread (e.g., a different decision-maker at the counterparty)</w:t>
      </w:r>
    </w:p>
    <w:p>
      <w:pPr>
        <w:pStyle w:val="ListParagraph"/>
        <w:numPr>
          <w:ilvl w:val="0"/>
          <w:numId w:val="2"/>
        </w:numPr>
        <w:spacing w:after="80"/>
      </w:pPr>
      <w:r>
        <w:rPr>
          <w:rFonts w:ascii="Arial" w:cs="Arial" w:eastAsia="Arial" w:hAnsi="Arial"/>
          <w:sz w:val="22"/>
          <w:szCs w:val="22"/>
        </w:rPr>
        <w:t xml:space="preserve">Attached documents suggesting renewed activity (updated LOI, revised PSA, new data room link)</w:t>
      </w:r>
    </w:p>
    <w:p>
      <w:pPr>
        <w:pStyle w:val="ListParagraph"/>
        <w:numPr>
          <w:ilvl w:val="0"/>
          <w:numId w:val="2"/>
        </w:numPr>
        <w:spacing w:after="80"/>
      </w:pPr>
      <w:r>
        <w:rPr>
          <w:rFonts w:ascii="Arial" w:cs="Arial" w:eastAsia="Arial" w:hAnsi="Arial"/>
          <w:sz w:val="22"/>
          <w:szCs w:val="22"/>
        </w:rPr>
        <w:t xml:space="preserve">Counterparty initiating contact after a long silence</w:t>
      </w:r>
    </w:p>
    <w:p>
      <w:pPr>
        <w:spacing w:after="200"/>
      </w:pPr>
    </w:p>
    <w:p>
      <w:pPr>
        <w:spacing w:after="120"/>
      </w:pPr>
      <w:r>
        <w:rPr>
          <w:rFonts w:ascii="Arial" w:cs="Arial" w:eastAsia="Arial" w:hAnsi="Arial"/>
          <w:i/>
          <w:iCs/>
          <w:sz w:val="22"/>
          <w:szCs w:val="22"/>
        </w:rPr>
        <w:t xml:space="preserve">Notification: </w:t>
      </w:r>
      <w:r>
        <w:rPr>
          <w:rFonts w:ascii="Arial" w:cs="Arial" w:eastAsia="Arial" w:hAnsi="Arial"/>
          <w:i/>
          <w:iCs/>
          <w:sz w:val="22"/>
          <w:szCs w:val="22"/>
        </w:rPr>
        <w:t xml:space="preserve">“New activity detected on Dead Deal ‘Permian Basin Package’ — counterparty sent updated LOI terms. Move back to Active Deals?”</w:t>
      </w:r>
    </w:p>
    <w:p>
      <w:pPr>
        <w:spacing w:after="200"/>
      </w:pPr>
    </w:p>
    <w:p>
      <w:pPr>
        <w:spacing w:after="120"/>
      </w:pPr>
      <w:r>
        <w:rPr>
          <w:rFonts w:ascii="Arial" w:cs="Arial" w:eastAsia="Arial" w:hAnsi="Arial"/>
          <w:sz w:val="22"/>
          <w:szCs w:val="22"/>
        </w:rPr>
        <w:t xml:space="preserve">Your options:</w:t>
      </w:r>
    </w:p>
    <w:p>
      <w:pPr>
        <w:pStyle w:val="ListParagraph"/>
        <w:numPr>
          <w:ilvl w:val="0"/>
          <w:numId w:val="2"/>
        </w:numPr>
        <w:spacing w:after="80"/>
      </w:pPr>
      <w:r>
        <w:rPr>
          <w:rFonts w:ascii="Arial" w:cs="Arial" w:eastAsia="Arial" w:hAnsi="Arial"/>
          <w:b/>
          <w:bCs/>
          <w:sz w:val="22"/>
          <w:szCs w:val="22"/>
        </w:rPr>
        <w:t xml:space="preserve">Move to Active Deals: </w:t>
      </w:r>
      <w:r>
        <w:rPr>
          <w:rFonts w:ascii="Arial" w:cs="Arial" w:eastAsia="Arial" w:hAnsi="Arial"/>
          <w:sz w:val="22"/>
          <w:szCs w:val="22"/>
        </w:rPr>
        <w:t xml:space="preserve">The deal’s folder moves back to Active Deals. Reminder and calendar systems treat it as active again.</w:t>
      </w:r>
    </w:p>
    <w:p>
      <w:pPr>
        <w:pStyle w:val="ListParagraph"/>
        <w:numPr>
          <w:ilvl w:val="0"/>
          <w:numId w:val="2"/>
        </w:numPr>
        <w:spacing w:after="80"/>
      </w:pPr>
      <w:r>
        <w:rPr>
          <w:rFonts w:ascii="Arial" w:cs="Arial" w:eastAsia="Arial" w:hAnsi="Arial"/>
          <w:b/>
          <w:bCs/>
          <w:sz w:val="22"/>
          <w:szCs w:val="22"/>
        </w:rPr>
        <w:t xml:space="preserve">Keep in Dead Deals: </w:t>
      </w:r>
      <w:r>
        <w:rPr>
          <w:rFonts w:ascii="Arial" w:cs="Arial" w:eastAsia="Arial" w:hAnsi="Arial"/>
          <w:sz w:val="22"/>
          <w:szCs w:val="22"/>
        </w:rPr>
        <w:t xml:space="preserve">New emails still file to the Dead Deal subfolder. The system won’t flag again unless activity increases further.</w:t>
      </w:r>
    </w:p>
    <w:p>
      <w:pPr>
        <w:spacing w:after="200"/>
      </w:pPr>
    </w:p>
    <w:p>
      <w:pPr>
        <w:spacing w:after="120"/>
      </w:pPr>
      <w:r>
        <w:rPr>
          <w:rFonts w:ascii="Arial" w:cs="Arial" w:eastAsia="Arial" w:hAnsi="Arial"/>
          <w:b/>
          <w:bCs/>
          <w:sz w:val="22"/>
          <w:szCs w:val="22"/>
        </w:rPr>
        <w:t xml:space="preserve">Key principle: </w:t>
      </w:r>
      <w:r>
        <w:rPr>
          <w:rFonts w:ascii="Arial" w:cs="Arial" w:eastAsia="Arial" w:hAnsi="Arial"/>
          <w:sz w:val="22"/>
          <w:szCs w:val="22"/>
        </w:rPr>
        <w:t xml:space="preserve">The system watches. You decide. Every transition between Active and Dead requires your explicit confirmation.</w:t>
      </w:r>
    </w:p>
    <w:p>
      <w:pPr>
        <w:spacing w:after="200"/>
      </w:pPr>
    </w:p>
    <w:p>
      <w:r>
        <w:br w:type="page"/>
      </w:r>
    </w:p>
    <w:p>
      <w:pPr>
        <w:pStyle w:val="Heading1"/>
      </w:pPr>
      <w:r>
        <w:t xml:space="preserve">Filing Decision Tree</w:t>
      </w:r>
    </w:p>
    <w:p>
      <w:pPr>
        <w:spacing w:after="120"/>
      </w:pPr>
      <w:r>
        <w:rPr>
          <w:rFonts w:ascii="Arial" w:cs="Arial" w:eastAsia="Arial" w:hAnsi="Arial"/>
          <w:sz w:val="22"/>
          <w:szCs w:val="22"/>
        </w:rPr>
        <w:t xml:space="preserve">When triaging an email, follow this sequence:</w:t>
      </w:r>
    </w:p>
    <w:p>
      <w:pPr>
        <w:spacing w:after="200"/>
      </w:pPr>
    </w:p>
    <w:p>
      <w:pPr>
        <w:pStyle w:val="ListParagraph"/>
        <w:numPr>
          <w:ilvl w:val="0"/>
          <w:numId w:val="3"/>
        </w:numPr>
        <w:spacing w:after="80"/>
      </w:pPr>
      <w:r>
        <w:rPr>
          <w:rFonts w:ascii="Arial" w:cs="Arial" w:eastAsia="Arial" w:hAnsi="Arial"/>
          <w:b/>
          <w:bCs/>
          <w:sz w:val="22"/>
          <w:szCs w:val="22"/>
        </w:rPr>
        <w:t xml:space="preserve">Does this email require me to do something? </w:t>
      </w:r>
      <w:r>
        <w:rPr>
          <w:rFonts w:ascii="Arial" w:cs="Arial" w:eastAsia="Arial" w:hAnsi="Arial"/>
          <w:sz w:val="22"/>
          <w:szCs w:val="22"/>
        </w:rPr>
        <w:t xml:space="preserve">If yes → ⚠ ACTION REQUIRED. If no, continue.</w:t>
      </w:r>
    </w:p>
    <w:p>
      <w:pPr>
        <w:pStyle w:val="ListParagraph"/>
        <w:numPr>
          <w:ilvl w:val="0"/>
          <w:numId w:val="3"/>
        </w:numPr>
        <w:spacing w:after="80"/>
      </w:pPr>
      <w:r>
        <w:rPr>
          <w:rFonts w:ascii="Arial" w:cs="Arial" w:eastAsia="Arial" w:hAnsi="Arial"/>
          <w:b/>
          <w:bCs/>
          <w:sz w:val="22"/>
          <w:szCs w:val="22"/>
        </w:rPr>
        <w:t xml:space="preserve">Did I already act and I’m waiting for a reply? </w:t>
      </w:r>
      <w:r>
        <w:rPr>
          <w:rFonts w:ascii="Arial" w:cs="Arial" w:eastAsia="Arial" w:hAnsi="Arial"/>
          <w:sz w:val="22"/>
          <w:szCs w:val="22"/>
        </w:rPr>
        <w:t xml:space="preserve">If yes → ⏳ WAITING ON REPLY. If no, continue.</w:t>
      </w:r>
    </w:p>
    <w:p>
      <w:pPr>
        <w:pStyle w:val="ListParagraph"/>
        <w:numPr>
          <w:ilvl w:val="0"/>
          <w:numId w:val="3"/>
        </w:numPr>
        <w:spacing w:after="80"/>
      </w:pPr>
      <w:r>
        <w:rPr>
          <w:rFonts w:ascii="Arial" w:cs="Arial" w:eastAsia="Arial" w:hAnsi="Arial"/>
          <w:b/>
          <w:bCs/>
          <w:sz w:val="22"/>
          <w:szCs w:val="22"/>
        </w:rPr>
        <w:t xml:space="preserve">Is this informational / for reading only? </w:t>
      </w:r>
      <w:r>
        <w:rPr>
          <w:rFonts w:ascii="Arial" w:cs="Arial" w:eastAsia="Arial" w:hAnsi="Arial"/>
          <w:sz w:val="22"/>
          <w:szCs w:val="22"/>
        </w:rPr>
        <w:t xml:space="preserve">If yes → 📋 REVIEW / READ. If no, continue.</w:t>
      </w:r>
    </w:p>
    <w:p>
      <w:pPr>
        <w:pStyle w:val="ListParagraph"/>
        <w:numPr>
          <w:ilvl w:val="0"/>
          <w:numId w:val="3"/>
        </w:numPr>
        <w:spacing w:after="80"/>
      </w:pPr>
      <w:r>
        <w:rPr>
          <w:rFonts w:ascii="Arial" w:cs="Arial" w:eastAsia="Arial" w:hAnsi="Arial"/>
          <w:b/>
          <w:bCs/>
          <w:sz w:val="22"/>
          <w:szCs w:val="22"/>
        </w:rPr>
        <w:t xml:space="preserve">Is this relevant context for an upcoming meeting? </w:t>
      </w:r>
      <w:r>
        <w:rPr>
          <w:rFonts w:ascii="Arial" w:cs="Arial" w:eastAsia="Arial" w:hAnsi="Arial"/>
          <w:sz w:val="22"/>
          <w:szCs w:val="22"/>
        </w:rPr>
        <w:t xml:space="preserve">If yes → 📅 MEETING PREP. If no, continue.</w:t>
      </w:r>
    </w:p>
    <w:p>
      <w:pPr>
        <w:pStyle w:val="ListParagraph"/>
        <w:numPr>
          <w:ilvl w:val="0"/>
          <w:numId w:val="3"/>
        </w:numPr>
        <w:spacing w:after="80"/>
      </w:pPr>
      <w:r>
        <w:rPr>
          <w:rFonts w:ascii="Arial" w:cs="Arial" w:eastAsia="Arial" w:hAnsi="Arial"/>
          <w:b/>
          <w:bCs/>
          <w:sz w:val="22"/>
          <w:szCs w:val="22"/>
        </w:rPr>
        <w:t xml:space="preserve">File to the functional folder based on subject matter. </w:t>
      </w:r>
      <w:r>
        <w:rPr>
          <w:rFonts w:ascii="Arial" w:cs="Arial" w:eastAsia="Arial" w:hAnsi="Arial"/>
          <w:sz w:val="22"/>
          <w:szCs w:val="22"/>
        </w:rPr>
        <w:t xml:space="preserve">Ask: What is this fundamentally about? Use the filing rules and boundaries above.</w:t>
      </w:r>
    </w:p>
    <w:p>
      <w:pPr>
        <w:spacing w:after="200"/>
      </w:pPr>
    </w:p>
    <w:p>
      <w:pPr>
        <w:pStyle w:val="Heading2"/>
      </w:pPr>
      <w:r>
        <w:t xml:space="preserve">Ambiguity Resolution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 To</w:t>
            </w:r>
          </w:p>
        </w:tc>
        <w:tc>
          <w:tcPr>
            <w:tcW w:type="dxa" w:w="376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 from attorney about an active deal</w:t>
            </w:r>
          </w:p>
        </w:tc>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04 - BD &amp; Deals &gt; [Deal Name]</w:t>
            </w:r>
          </w:p>
        </w:tc>
        <w:tc>
          <w:tcPr>
            <w:tcW w:type="dxa" w:w="37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Keep the deal file complete.</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Regulatory filing for a well on an active deal</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04 - BD &amp; Deals &gt; [Deal Name]</w:t>
            </w:r>
          </w:p>
        </w:tc>
        <w:tc>
          <w:tcPr>
            <w:tcW w:type="dxa" w:w="37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Deal context is primary. Post-close, future regulatory goes to 08.</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JV partner disputing a JIB on a specific well</w:t>
            </w:r>
          </w:p>
        </w:tc>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06 - JV &amp; Partners</w:t>
            </w:r>
          </w:p>
        </w:tc>
        <w:tc>
          <w:tcPr>
            <w:tcW w:type="dxa" w:w="37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Partner relationship is the primary axis.</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Tax question from CPA about asset depreciation</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09 - Finance &gt; Tax</w:t>
            </w:r>
          </w:p>
        </w:tc>
        <w:tc>
          <w:tcPr>
            <w:tcW w:type="dxa" w:w="37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Tax is the action; asset context is secondary.</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Vendor invoice for frac services on a well</w:t>
            </w:r>
          </w:p>
        </w:tc>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01 - Operations or 03 - Engineering</w:t>
            </w:r>
          </w:p>
        </w:tc>
        <w:tc>
          <w:tcPr>
            <w:tcW w:type="dxa" w:w="37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Drilling phase = Engineering. Production phase = Operations.</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Investor asking about a specific deal’s status</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05 - Investors &amp; Capital</w:t>
            </w:r>
          </w:p>
        </w:tc>
        <w:tc>
          <w:tcPr>
            <w:tcW w:type="dxa" w:w="37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Investor relationship is primary.</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Networking contact becomes deal conversation</w:t>
            </w:r>
          </w:p>
        </w:tc>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04 - BD &amp; Deals (move from 11)</w:t>
            </w:r>
          </w:p>
        </w:tc>
        <w:tc>
          <w:tcPr>
            <w:tcW w:type="dxa" w:w="37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Graduate to BD when deal-specific.</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SUA or ROW for a specific prospect</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02 - Land &gt; [Prospect Name]</w:t>
            </w:r>
          </w:p>
        </w:tc>
        <w:tc>
          <w:tcPr>
            <w:tcW w:type="dxa" w:w="37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Prospect subfolder contains all prospect-specific materials.</w:t>
            </w:r>
          </w:p>
        </w:tc>
      </w:tr>
      <w:tr>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Division order not tied to a specific prospect</w:t>
            </w:r>
          </w:p>
        </w:tc>
        <w:tc>
          <w:tcPr>
            <w:tcW w:type="dxa" w:w="2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02 - Land &gt; Division Orders</w:t>
            </w:r>
          </w:p>
        </w:tc>
        <w:tc>
          <w:tcPr>
            <w:tcW w:type="dxa" w:w="376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Standalone subfolder for cross-prospect items.</w:t>
            </w:r>
          </w:p>
        </w:tc>
      </w:tr>
      <w:tr>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JIB received from operator</w:t>
            </w:r>
          </w:p>
        </w:tc>
        <w:tc>
          <w:tcPr>
            <w:tcW w:type="dxa" w:w="2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09 - Finance &gt; JIB + Invoices</w:t>
            </w:r>
          </w:p>
        </w:tc>
        <w:tc>
          <w:tcPr>
            <w:tcW w:type="dxa" w:w="376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Financial processing is primary action.</w:t>
            </w:r>
          </w:p>
        </w:tc>
      </w:tr>
    </w:tbl>
    <w:p>
      <w:pPr>
        <w:spacing w:after="200"/>
      </w:pPr>
    </w:p>
    <w:p>
      <w:r>
        <w:br w:type="page"/>
      </w:r>
    </w:p>
    <w:p>
      <w:pPr>
        <w:pStyle w:val="Heading1"/>
      </w:pPr>
      <w:r>
        <w:t xml:space="preserve">Personal Accounts</w:t>
      </w:r>
    </w:p>
    <w:p>
      <w:pPr>
        <w:spacing w:after="120"/>
      </w:pPr>
      <w:r>
        <w:rPr>
          <w:rFonts w:ascii="Arial" w:cs="Arial" w:eastAsia="Arial" w:hAnsi="Arial"/>
          <w:sz w:val="22"/>
          <w:szCs w:val="22"/>
        </w:rPr>
        <w:t xml:space="preserve">Both kmcquire@utexas.edu and kdmcquire@gmail.com receive the same folder structure. This ensures a clean migration path when the utexas.edu account eventually consolidates into kdmcquire@gmail.com.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40"/>
        <w:gridCol w:w="2720"/>
      </w:tblGrid>
      <w:tr>
        <w:tc>
          <w:tcPr>
            <w:tcW w:type="dxa" w:w="2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444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2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Classification Keywords</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Financial / Banking</w:t>
            </w:r>
          </w:p>
        </w:tc>
        <w:tc>
          <w:tcPr>
            <w:tcW w:type="dxa" w:w="444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Personal banking, investment accounts, brokerage, credit cards, tax documents (personal), financial planning, estate financial matters.</w:t>
            </w:r>
          </w:p>
        </w:tc>
        <w:tc>
          <w:tcPr>
            <w:tcW w:type="dxa" w:w="272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bank, statement, investment, brokerage, credit card, Schwab, Fidelity, Vanguard, tax, 1040, W-2, mortgage, loan</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Property / Real Estate</w:t>
            </w:r>
          </w:p>
        </w:tc>
        <w:tc>
          <w:tcPr>
            <w:tcW w:type="dxa" w:w="444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Home-related, property management, HOA, utilities, home insurance, maintenance, renovations.</w:t>
            </w:r>
          </w:p>
        </w:tc>
        <w:tc>
          <w:tcPr>
            <w:tcW w:type="dxa" w:w="272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HOA, property, utility, electric, water, gas, home, house, maintenance, repair, mortgage, escrow, appraisal</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Education / Alumni</w:t>
            </w:r>
          </w:p>
        </w:tc>
        <w:tc>
          <w:tcPr>
            <w:tcW w:type="dxa" w:w="444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UT Austin alumni, continuing education, certifications, academic memberships, reunions.</w:t>
            </w:r>
          </w:p>
        </w:tc>
        <w:tc>
          <w:tcPr>
            <w:tcW w:type="dxa" w:w="272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UT, Texas, alumni, Longhorn, education, course, certification, university, degree, reunion</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Health &amp; Wellness</w:t>
            </w:r>
          </w:p>
        </w:tc>
        <w:tc>
          <w:tcPr>
            <w:tcW w:type="dxa" w:w="444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Medical, dental, vision, prescriptions, fitness memberships, health insurance (personal).</w:t>
            </w:r>
          </w:p>
        </w:tc>
        <w:tc>
          <w:tcPr>
            <w:tcW w:type="dxa" w:w="272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doctor, medical, dental, prescription, pharmacy, health, insurance, EOB, claim, gym, fitness</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Travel</w:t>
            </w:r>
          </w:p>
        </w:tc>
        <w:tc>
          <w:tcPr>
            <w:tcW w:type="dxa" w:w="444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Flight bookings, hotel reservations, loyalty programs, car rental, itineraries, travel insurance.</w:t>
            </w:r>
          </w:p>
        </w:tc>
        <w:tc>
          <w:tcPr>
            <w:tcW w:type="dxa" w:w="272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flight, hotel, reservation, booking, airline, loyalty, miles, points, rental, itinerary, passport, TSA</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Subscriptions &amp; Services</w:t>
            </w:r>
          </w:p>
        </w:tc>
        <w:tc>
          <w:tcPr>
            <w:tcW w:type="dxa" w:w="444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Streaming, software, retail accounts, recurring services, warranties, online accounts.</w:t>
            </w:r>
          </w:p>
        </w:tc>
        <w:tc>
          <w:tcPr>
            <w:tcW w:type="dxa" w:w="272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subscription, Netflix, Spotify, Amazon, order, delivery, warranty, account, membership, renewal</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Family &amp; Personal</w:t>
            </w:r>
          </w:p>
        </w:tc>
        <w:tc>
          <w:tcPr>
            <w:tcW w:type="dxa" w:w="444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Family coordination, personal legal matters, estate planning, charitable giving, personal correspondence.</w:t>
            </w:r>
          </w:p>
        </w:tc>
        <w:tc>
          <w:tcPr>
            <w:tcW w:type="dxa" w:w="272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family, personal, estate, will, trust, charity, donation, gift</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Professional / Networking</w:t>
            </w:r>
          </w:p>
        </w:tc>
        <w:tc>
          <w:tcPr>
            <w:tcW w:type="dxa" w:w="444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Non-Peak 10 professional contacts, advisory board positions, speaking, personal brand, LinkedIn.</w:t>
            </w:r>
          </w:p>
        </w:tc>
        <w:tc>
          <w:tcPr>
            <w:tcW w:type="dxa" w:w="272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LinkedIn, advisory, board, mentor, networking, professional, reference, recommendation</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Archive</w:t>
            </w:r>
          </w:p>
        </w:tc>
        <w:tc>
          <w:tcPr>
            <w:tcW w:type="dxa" w:w="444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Mirror of above structure for emails older than 90 days.</w:t>
            </w:r>
          </w:p>
        </w:tc>
        <w:tc>
          <w:tcPr>
            <w:tcW w:type="dxa" w:w="272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pPr>
      <w:r>
        <w:t xml:space="preserve">Personal Account Filing Notes</w:t>
      </w:r>
    </w:p>
    <w:p>
      <w:pPr>
        <w:pStyle w:val="ListParagraph"/>
        <w:numPr>
          <w:ilvl w:val="0"/>
          <w:numId w:val="2"/>
        </w:numPr>
        <w:spacing w:after="80"/>
      </w:pPr>
      <w:r>
        <w:rPr>
          <w:rFonts w:ascii="Arial" w:cs="Arial" w:eastAsia="Arial" w:hAnsi="Arial"/>
          <w:sz w:val="22"/>
          <w:szCs w:val="22"/>
        </w:rPr>
        <w:t xml:space="preserve">Any Peak 10 business email that lands in a personal account should be forwarded to the Peak 10 account and filed there.</w:t>
      </w:r>
    </w:p>
    <w:p>
      <w:pPr>
        <w:pStyle w:val="ListParagraph"/>
        <w:numPr>
          <w:ilvl w:val="0"/>
          <w:numId w:val="2"/>
        </w:numPr>
        <w:spacing w:after="80"/>
      </w:pPr>
      <w:r>
        <w:rPr>
          <w:rFonts w:ascii="Arial" w:cs="Arial" w:eastAsia="Arial" w:hAnsi="Arial"/>
          <w:sz w:val="22"/>
          <w:szCs w:val="22"/>
        </w:rPr>
        <w:t xml:space="preserve">The utexas.edu account is read-only for filing — existing emails get organized, but stop using it for new correspondence.</w:t>
      </w:r>
    </w:p>
    <w:p>
      <w:pPr>
        <w:pStyle w:val="ListParagraph"/>
        <w:numPr>
          <w:ilvl w:val="0"/>
          <w:numId w:val="2"/>
        </w:numPr>
        <w:spacing w:after="80"/>
      </w:pPr>
      <w:r>
        <w:rPr>
          <w:rFonts w:ascii="Arial" w:cs="Arial" w:eastAsia="Arial" w:hAnsi="Arial"/>
          <w:sz w:val="22"/>
          <w:szCs w:val="22"/>
        </w:rPr>
        <w:t xml:space="preserve">kdmcquire@gmail.com becomes the single personal email after migration.</w:t>
      </w:r>
    </w:p>
    <w:p>
      <w:pPr>
        <w:spacing w:after="200"/>
      </w:pPr>
    </w:p>
    <w:p>
      <w:r>
        <w:br w:type="page"/>
      </w:r>
    </w:p>
    <w:p>
      <w:pPr>
        <w:pStyle w:val="Heading1"/>
      </w:pPr>
      <w:r>
        <w:t xml:space="preserve">Gate 2 Approval &amp; Next Steps</w:t>
      </w:r>
    </w:p>
    <w:p>
      <w:pPr>
        <w:spacing w:after="200"/>
      </w:pPr>
    </w:p>
    <w:p>
      <w:pPr>
        <w:spacing w:after="120"/>
      </w:pPr>
      <w:r>
        <w:rPr>
          <w:rFonts w:ascii="Arial" w:cs="Arial" w:eastAsia="Arial" w:hAnsi="Arial"/>
          <w:b/>
          <w:bCs/>
          <w:sz w:val="22"/>
          <w:szCs w:val="22"/>
        </w:rPr>
        <w:t xml:space="preserve">To approve this structure: </w:t>
      </w:r>
      <w:r>
        <w:rPr>
          <w:rFonts w:ascii="Arial" w:cs="Arial" w:eastAsia="Arial" w:hAnsi="Arial"/>
          <w:sz w:val="22"/>
          <w:szCs w:val="22"/>
        </w:rPr>
        <w:t xml:space="preserve">Confirm that the folder names, hierarchy, filing rules, keyword classifications, dynamic subfolder behavior, and deal lifecycle rules are correct. Flag anything missing or misplaced.</w:t>
      </w:r>
    </w:p>
    <w:p>
      <w:pPr>
        <w:spacing w:after="200"/>
      </w:pPr>
    </w:p>
    <w:p>
      <w:pPr>
        <w:spacing w:after="120"/>
      </w:pPr>
      <w:r>
        <w:rPr>
          <w:rFonts w:ascii="Arial" w:cs="Arial" w:eastAsia="Arial" w:hAnsi="Arial"/>
          <w:b/>
          <w:bCs/>
          <w:sz w:val="22"/>
          <w:szCs w:val="22"/>
        </w:rPr>
        <w:t xml:space="preserve">Specific questions to consider:</w:t>
      </w:r>
    </w:p>
    <w:p>
      <w:pPr>
        <w:pStyle w:val="ListParagraph"/>
        <w:numPr>
          <w:ilvl w:val="0"/>
          <w:numId w:val="3"/>
        </w:numPr>
        <w:spacing w:after="80"/>
      </w:pPr>
      <w:r>
        <w:rPr>
          <w:rFonts w:ascii="Arial" w:cs="Arial" w:eastAsia="Arial" w:hAnsi="Arial"/>
          <w:sz w:val="22"/>
          <w:szCs w:val="22"/>
        </w:rPr>
        <w:t xml:space="preserve">Are there any functional areas missing?</w:t>
      </w:r>
    </w:p>
    <w:p>
      <w:pPr>
        <w:pStyle w:val="ListParagraph"/>
        <w:numPr>
          <w:ilvl w:val="0"/>
          <w:numId w:val="3"/>
        </w:numPr>
        <w:spacing w:after="80"/>
      </w:pPr>
      <w:r>
        <w:rPr>
          <w:rFonts w:ascii="Arial" w:cs="Arial" w:eastAsia="Arial" w:hAnsi="Arial"/>
          <w:sz w:val="22"/>
          <w:szCs w:val="22"/>
        </w:rPr>
        <w:t xml:space="preserve">Are there specific asset, prospect, well, or partner names that should be pre-created as subfolders now?</w:t>
      </w:r>
    </w:p>
    <w:p>
      <w:pPr>
        <w:pStyle w:val="ListParagraph"/>
        <w:numPr>
          <w:ilvl w:val="0"/>
          <w:numId w:val="3"/>
        </w:numPr>
        <w:spacing w:after="80"/>
      </w:pPr>
      <w:r>
        <w:rPr>
          <w:rFonts w:ascii="Arial" w:cs="Arial" w:eastAsia="Arial" w:hAnsi="Arial"/>
          <w:sz w:val="22"/>
          <w:szCs w:val="22"/>
        </w:rPr>
        <w:t xml:space="preserve">Is the 60-day inactivity threshold for Dead Deal flagging the right duration?</w:t>
      </w:r>
    </w:p>
    <w:p>
      <w:pPr>
        <w:pStyle w:val="ListParagraph"/>
        <w:numPr>
          <w:ilvl w:val="0"/>
          <w:numId w:val="3"/>
        </w:numPr>
        <w:spacing w:after="80"/>
      </w:pPr>
      <w:r>
        <w:rPr>
          <w:rFonts w:ascii="Arial" w:cs="Arial" w:eastAsia="Arial" w:hAnsi="Arial"/>
          <w:sz w:val="22"/>
          <w:szCs w:val="22"/>
        </w:rPr>
        <w:t xml:space="preserve">Is the 90-day archive threshold right?</w:t>
      </w:r>
    </w:p>
    <w:p>
      <w:pPr>
        <w:pStyle w:val="ListParagraph"/>
        <w:numPr>
          <w:ilvl w:val="0"/>
          <w:numId w:val="3"/>
        </w:numPr>
        <w:spacing w:after="80"/>
      </w:pPr>
      <w:r>
        <w:rPr>
          <w:rFonts w:ascii="Arial" w:cs="Arial" w:eastAsia="Arial" w:hAnsi="Arial"/>
          <w:sz w:val="22"/>
          <w:szCs w:val="22"/>
        </w:rPr>
        <w:t xml:space="preserve">Are there existing Outlook rules that must be preserved exactly as-is?</w:t>
      </w:r>
    </w:p>
    <w:p>
      <w:pPr>
        <w:spacing w:after="200"/>
      </w:pPr>
    </w:p>
    <w:p>
      <w:pPr>
        <w:spacing w:after="120"/>
      </w:pPr>
      <w:r>
        <w:rPr>
          <w:rFonts w:ascii="Arial" w:cs="Arial" w:eastAsia="Arial" w:hAnsi="Arial"/>
          <w:b/>
          <w:bCs/>
          <w:sz w:val="22"/>
          <w:szCs w:val="22"/>
        </w:rPr>
        <w:t xml:space="preserve">Once Gate 2 is cleared, I immediately deliver:</w:t>
      </w:r>
    </w:p>
    <w:p>
      <w:pPr>
        <w:pStyle w:val="ListParagraph"/>
        <w:numPr>
          <w:ilvl w:val="0"/>
          <w:numId w:val="2"/>
        </w:numPr>
        <w:spacing w:after="80"/>
      </w:pPr>
      <w:r>
        <w:rPr>
          <w:rFonts w:ascii="Arial" w:cs="Arial" w:eastAsia="Arial" w:hAnsi="Arial"/>
          <w:sz w:val="22"/>
          <w:szCs w:val="22"/>
        </w:rPr>
        <w:t xml:space="preserve">Updated PowerShell script with revised folder structure (already built, ready to deploy)</w:t>
      </w:r>
    </w:p>
    <w:p>
      <w:pPr>
        <w:pStyle w:val="ListParagraph"/>
        <w:numPr>
          <w:ilvl w:val="0"/>
          <w:numId w:val="2"/>
        </w:numPr>
        <w:spacing w:after="80"/>
      </w:pPr>
      <w:r>
        <w:rPr>
          <w:rFonts w:ascii="Arial" w:cs="Arial" w:eastAsia="Arial" w:hAnsi="Arial"/>
          <w:sz w:val="22"/>
          <w:szCs w:val="22"/>
        </w:rPr>
        <w:t xml:space="preserve">PowerShell cataloging scripts to classify and move the 57,000 emails</w:t>
      </w:r>
    </w:p>
    <w:p>
      <w:pPr>
        <w:pStyle w:val="ListParagraph"/>
        <w:numPr>
          <w:ilvl w:val="0"/>
          <w:numId w:val="2"/>
        </w:numPr>
        <w:spacing w:after="80"/>
      </w:pPr>
      <w:r>
        <w:rPr>
          <w:rFonts w:ascii="Arial" w:cs="Arial" w:eastAsia="Arial" w:hAnsi="Arial"/>
          <w:sz w:val="22"/>
          <w:szCs w:val="22"/>
        </w:rPr>
        <w:t xml:space="preserve">Outlook rule definitions for ongoing auto-filing</w:t>
      </w:r>
    </w:p>
    <w:p>
      <w:pPr>
        <w:pStyle w:val="ListParagraph"/>
        <w:numPr>
          <w:ilvl w:val="0"/>
          <w:numId w:val="2"/>
        </w:numPr>
        <w:spacing w:after="80"/>
      </w:pPr>
      <w:r>
        <w:rPr>
          <w:rFonts w:ascii="Arial" w:cs="Arial" w:eastAsia="Arial" w:hAnsi="Arial"/>
          <w:sz w:val="22"/>
          <w:szCs w:val="22"/>
        </w:rPr>
        <w:t xml:space="preserve">Power Automate flow definitions for keyword-based classification</w:t>
      </w:r>
    </w:p>
    <w:p>
      <w:pPr>
        <w:pStyle w:val="ListParagraph"/>
        <w:numPr>
          <w:ilvl w:val="0"/>
          <w:numId w:val="2"/>
        </w:numPr>
        <w:spacing w:after="80"/>
      </w:pPr>
      <w:r>
        <w:rPr>
          <w:rFonts w:ascii="Arial" w:cs="Arial" w:eastAsia="Arial" w:hAnsi="Arial"/>
          <w:sz w:val="22"/>
          <w:szCs w:val="22"/>
        </w:rPr>
        <w:t xml:space="preserve">IT deployment guide with step-by-step instructions</w:t>
      </w:r>
    </w:p>
    <w:sectPr>
      <w:headerReference w:type="default" r:id="rId6"/>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b/>
        <w:bCs/>
        <w:color w:val="2E75B6"/>
        <w:sz w:val="16"/>
        <w:szCs w:val="16"/>
      </w:rPr>
      <w:t xml:space="preserve">PEAK 10 ENERGY</w:t>
    </w:r>
    <w:r>
      <w:rPr>
        <w:rFonts w:ascii="Arial" w:cs="Arial" w:eastAsia="Arial" w:hAnsi="Arial"/>
        <w:color w:val="888888"/>
        <w:sz w:val="16"/>
        <w:szCs w:val="16"/>
      </w:rPr>
      <w:t xml:space="preserve">  |  Phase 1: Folder Architecture v1.1  |  GATE 2 APPROVAL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2026-02-26T09:24:06.699Z</dcterms:created>
  <dcterms:modified xsi:type="dcterms:W3CDTF">2026-02-26T09:24:06.700Z</dcterms:modified>
</cp:coreProperties>
</file>

<file path=docProps/custom.xml><?xml version="1.0" encoding="utf-8"?>
<Properties xmlns="http://schemas.openxmlformats.org/officeDocument/2006/custom-properties" xmlns:vt="http://schemas.openxmlformats.org/officeDocument/2006/docPropsVTypes"/>
</file>