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Arial" w:cs="Arial" w:eastAsia="Arial" w:hAnsi="Arial"/>
          <w:b/>
          <w:bCs/>
          <w:color w:val="1B2A4A"/>
          <w:sz w:val="48"/>
          <w:szCs w:val="48"/>
        </w:rPr>
        <w:t xml:space="preserve">ONGOING AUTOMATION</w:t>
      </w:r>
    </w:p>
    <w:p>
      <w:pPr>
        <w:spacing w:after="40"/>
        <w:jc w:val="center"/>
      </w:pPr>
      <w:r>
        <w:rPr>
          <w:rFonts w:ascii="Arial" w:cs="Arial" w:eastAsia="Arial" w:hAnsi="Arial"/>
          <w:color w:val="2E75B6"/>
          <w:sz w:val="32"/>
          <w:szCs w:val="32"/>
        </w:rPr>
        <w:t xml:space="preserve">Outlook Rules &amp; Power Automate Flows</w:t>
      </w:r>
    </w:p>
    <w:p>
      <w:pPr>
        <w:spacing w:after="200"/>
      </w:pPr>
    </w:p>
    <w:p>
      <w:pPr>
        <w:pBdr>
          <w:top w:val="single" w:color="2E75B6" w:sz="4" w:space="8"/>
          <w:bottom w:val="single" w:color="2E75B6" w:sz="4" w:space="8"/>
        </w:pBdr>
        <w:spacing w:before="200" w:after="200"/>
        <w:jc w:val="center"/>
      </w:pPr>
      <w:r>
        <w:rPr>
          <w:rFonts w:ascii="Arial" w:cs="Arial" w:eastAsia="Arial" w:hAnsi="Arial"/>
          <w:b/>
          <w:bCs/>
          <w:color w:val="1B2A4A"/>
          <w:sz w:val="24"/>
          <w:szCs w:val="24"/>
        </w:rPr>
        <w:t xml:space="preserve">PHASE 2 DELIVERABLE — DEPLOY AFTER INITIAL CATALOGING</w:t>
      </w:r>
    </w:p>
    <w:p>
      <w:pPr>
        <w:spacing w:after="200"/>
      </w:pPr>
    </w:p>
    <w:p>
      <w:pPr>
        <w:spacing w:after="120"/>
      </w:pPr>
      <w:r>
        <w:rPr>
          <w:rFonts w:ascii="Arial" w:cs="Arial" w:eastAsia="Arial" w:hAnsi="Arial"/>
          <w:sz w:val="22"/>
          <w:szCs w:val="22"/>
        </w:rPr>
        <w:t xml:space="preserve">This document defines the Outlook rules and Power Automate flows that keep the folder structure organized on an ongoing basis after the initial 57,000-email cataloging is complete.</w:t>
      </w:r>
    </w:p>
    <w:p>
      <w:pPr>
        <w:spacing w:after="200"/>
      </w:pPr>
    </w:p>
    <w:p>
      <w:pPr>
        <w:spacing w:after="120"/>
      </w:pPr>
      <w:r>
        <w:rPr>
          <w:rFonts w:ascii="Arial" w:cs="Arial" w:eastAsia="Arial" w:hAnsi="Arial"/>
          <w:b/>
          <w:bCs/>
          <w:sz w:val="22"/>
          <w:szCs w:val="22"/>
        </w:rPr>
        <w:t xml:space="preserve">Layered approach: </w:t>
      </w:r>
      <w:r>
        <w:rPr>
          <w:rFonts w:ascii="Arial" w:cs="Arial" w:eastAsia="Arial" w:hAnsi="Arial"/>
          <w:sz w:val="22"/>
          <w:szCs w:val="22"/>
        </w:rPr>
        <w:t xml:space="preserve">Outlook rules handle ~60–70% of incoming email (known senders, known domains). Power Automate flows handle ~20–25% (keyword-based classification for new or unfamiliar senders). The remaining 5–15% lands in the Inbox for your weekly sweep or is caught by the Phase 3 intelligence app.</w:t>
      </w:r>
    </w:p>
    <w:p>
      <w:r>
        <w:br w:type="page"/>
      </w:r>
    </w:p>
    <w:p>
      <w:pPr>
        <w:pStyle w:val="Heading1"/>
      </w:pPr>
      <w:r>
        <w:t xml:space="preserve">Outlook Rules</w:t>
      </w:r>
    </w:p>
    <w:p>
      <w:pPr>
        <w:spacing w:after="120"/>
      </w:pPr>
      <w:r>
        <w:rPr>
          <w:rFonts w:ascii="Arial" w:cs="Arial" w:eastAsia="Arial" w:hAnsi="Arial"/>
          <w:sz w:val="22"/>
          <w:szCs w:val="22"/>
        </w:rPr>
        <w:t xml:space="preserve">These rules run in Outlook natively (both desktop and mobile). They are processed in priority order — lower numbers run first. Once a rule moves an email, subsequent rules are skipped for that email.</w:t>
      </w:r>
    </w:p>
    <w:p>
      <w:pPr>
        <w:spacing w:after="200"/>
      </w:pPr>
    </w:p>
    <w:p>
      <w:pPr>
        <w:spacing w:after="120"/>
      </w:pPr>
      <w:r>
        <w:rPr>
          <w:rFonts w:ascii="Arial" w:cs="Arial" w:eastAsia="Arial" w:hAnsi="Arial"/>
          <w:b/>
          <w:bCs/>
          <w:sz w:val="22"/>
          <w:szCs w:val="22"/>
        </w:rPr>
        <w:t xml:space="preserve">How to implement: </w:t>
      </w:r>
      <w:r>
        <w:rPr>
          <w:rFonts w:ascii="Arial" w:cs="Arial" w:eastAsia="Arial" w:hAnsi="Arial"/>
          <w:sz w:val="22"/>
          <w:szCs w:val="22"/>
        </w:rPr>
        <w:t xml:space="preserve">These rules can be created manually in Outlook (Home &gt; Rules &gt; Manage Rules &amp; Alerts) or deployed via PowerShell using the Exchange Online Management module. The IT Deployment Guide includes the PowerShell commands for bulk creation.</w:t>
      </w:r>
    </w:p>
    <w:p>
      <w:pPr>
        <w:spacing w:after="200"/>
      </w:pPr>
    </w:p>
    <w:p>
      <w:pPr>
        <w:spacing w:after="120"/>
      </w:pPr>
      <w:r>
        <w:rPr>
          <w:rFonts w:ascii="Arial" w:cs="Arial" w:eastAsia="Arial" w:hAnsi="Arial"/>
          <w:b/>
          <w:bCs/>
          <w:sz w:val="22"/>
          <w:szCs w:val="22"/>
        </w:rPr>
        <w:t xml:space="preserve">Customization required: </w:t>
      </w:r>
      <w:r>
        <w:rPr>
          <w:rFonts w:ascii="Arial" w:cs="Arial" w:eastAsia="Arial" w:hAnsi="Arial"/>
          <w:sz w:val="22"/>
          <w:szCs w:val="22"/>
        </w:rPr>
        <w:t xml:space="preserve">Rules marked with “Add specific sender domains” need to be populated with your actual sender addresses. During the initial cataloging, the script generates a sender frequency report that identifies your most common senders per folder — use that to populate these rules.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700"/>
        <w:gridCol w:w="2580"/>
      </w:tblGrid>
      <w:tr>
        <w:tc>
          <w:tcPr>
            <w:tcW w:type="dxa" w:w="1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2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RRC to Regulatory</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domain contains 'rrc.texas.gov' OR 'rrc.state.tx.us'</w:t>
            </w:r>
          </w:p>
        </w:tc>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to 08 - Regulatory &amp; Compliance &gt; RRC / State Agencies</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w:t>
            </w:r>
          </w:p>
        </w:tc>
        <w:tc>
          <w:tcPr>
            <w:tcW w:type="dxa" w:w="2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All Railroad Commission correspondence</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TCEQ to Regulatory</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domain contains 'tceq.texas.gov'</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08 - Regulatory &amp; Compliance &gt; Environmental</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w:t>
            </w:r>
          </w:p>
        </w:tc>
        <w:tc>
          <w:tcPr>
            <w:tcW w:type="dxa" w:w="2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Texas environmental agency</w:t>
            </w:r>
          </w:p>
        </w:tc>
      </w:tr>
      <w:tr>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EPA to Regulatory</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domain contains 'epa.gov'</w:t>
            </w:r>
          </w:p>
        </w:tc>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to 08 - Regulatory &amp; Compliance &gt; Environmental</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w:t>
            </w:r>
          </w:p>
        </w:tc>
        <w:tc>
          <w:tcPr>
            <w:tcW w:type="dxa" w:w="2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Federal environmental agency</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TIPRO to Industry</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domain contains 'tipro.org'</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11 - Industry &amp; External &gt; Associations &amp; Memberships</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Industry association</w:t>
            </w:r>
          </w:p>
        </w:tc>
      </w:tr>
      <w:tr>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IPAA to Industry</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domain contains 'ipaa.org'</w:t>
            </w:r>
          </w:p>
        </w:tc>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to 11 - Industry &amp; External &gt; Associations &amp; Memberships</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NAPE to Industry</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domain contains 'napeexpo.com'</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11 - Industry &amp; External &gt; Conferences &amp; Events</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Newsletters to Review</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Subject contains 'newsletter' OR 'weekly update' OR 'daily digest' OR 'market update'</w:t>
            </w:r>
          </w:p>
        </w:tc>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to 📋 REVIEW / READ</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3</w:t>
            </w:r>
          </w:p>
        </w:tc>
        <w:tc>
          <w:tcPr>
            <w:tcW w:type="dxa" w:w="2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Low-priority reading material. Add specific sender domains as you identify newsletters.</w:t>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Automated Notifications</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contains 'noreply' OR 'no-reply' OR 'donotreply' OR 'notifications@'</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 REVIEW / READ; Mark as Read</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3</w:t>
            </w:r>
          </w:p>
        </w:tc>
        <w:tc>
          <w:tcPr>
            <w:tcW w:type="dxa" w:w="2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System-generated emails. Review periodically.</w:t>
            </w:r>
          </w:p>
        </w:tc>
      </w:tr>
      <w:tr>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Insurance COIs to Finance</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Subject contains 'certificate of insurance' OR 'COI'</w:t>
            </w:r>
          </w:p>
        </w:tc>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to 09 - Finance &amp; Accounting &gt; Insurance</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Tax emails to Finance</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Subject contains '1099' OR 'K-1' OR 'tax return' OR 'tax filing'</w:t>
            </w:r>
          </w:p>
        </w:tc>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09 - Finance &amp; Accounting &gt; Tax</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Tax season correspondence</w:t>
            </w:r>
          </w:p>
        </w:tc>
      </w:tr>
    </w:tbl>
    <w:p>
      <w:pPr>
        <w:spacing w:after="200"/>
      </w:pPr>
    </w:p>
    <w:p>
      <w:pPr>
        <w:pStyle w:val="Heading2"/>
      </w:pPr>
      <w:r>
        <w:t xml:space="preserve">Sender-Based Rules (Customize After Cataloging)</w:t>
      </w:r>
    </w:p>
    <w:p>
      <w:pPr>
        <w:spacing w:after="120"/>
      </w:pPr>
      <w:r>
        <w:rPr>
          <w:rFonts w:ascii="Arial" w:cs="Arial" w:eastAsia="Arial" w:hAnsi="Arial"/>
          <w:sz w:val="22"/>
          <w:szCs w:val="22"/>
        </w:rPr>
        <w:t xml:space="preserve">The cataloging script generates a Sender Frequency Report showing your top senders per classified folder. Use this report to create sender-based rules. These are the most reliable rules because they match on sender address, not keywords.</w:t>
      </w:r>
    </w:p>
    <w:p>
      <w:pPr>
        <w:spacing w:after="200"/>
      </w:pPr>
    </w:p>
    <w:p>
      <w:pPr>
        <w:spacing w:after="120"/>
      </w:pPr>
      <w:r>
        <w:rPr>
          <w:rFonts w:ascii="Arial" w:cs="Arial" w:eastAsia="Arial" w:hAnsi="Arial"/>
          <w:b/>
          <w:bCs/>
          <w:sz w:val="22"/>
          <w:szCs w:val="22"/>
        </w:rPr>
        <w:t xml:space="preserve">Template: </w:t>
      </w:r>
      <w:r>
        <w:rPr>
          <w:rFonts w:ascii="Arial" w:cs="Arial" w:eastAsia="Arial" w:hAnsi="Arial"/>
          <w:sz w:val="22"/>
          <w:szCs w:val="22"/>
        </w:rPr>
        <w:t xml:space="preserve">For each high-frequency sender, create a rule:</w:t>
      </w:r>
    </w:p>
    <w:p>
      <w:pPr>
        <w:pStyle w:val="ListParagraph"/>
        <w:numPr>
          <w:ilvl w:val="0"/>
          <w:numId w:val="2"/>
        </w:numPr>
        <w:spacing w:after="80"/>
      </w:pPr>
      <w:r>
        <w:rPr>
          <w:rFonts w:ascii="Arial" w:cs="Arial" w:eastAsia="Arial" w:hAnsi="Arial"/>
          <w:sz w:val="22"/>
          <w:szCs w:val="22"/>
        </w:rPr>
        <w:t xml:space="preserve">Condition: From [sender email address]</w:t>
      </w:r>
    </w:p>
    <w:p>
      <w:pPr>
        <w:pStyle w:val="ListParagraph"/>
        <w:numPr>
          <w:ilvl w:val="0"/>
          <w:numId w:val="2"/>
        </w:numPr>
        <w:spacing w:after="80"/>
      </w:pPr>
      <w:r>
        <w:rPr>
          <w:rFonts w:ascii="Arial" w:cs="Arial" w:eastAsia="Arial" w:hAnsi="Arial"/>
          <w:sz w:val="22"/>
          <w:szCs w:val="22"/>
        </w:rPr>
        <w:t xml:space="preserve">Action: Move to [appropriate folder]</w:t>
      </w:r>
    </w:p>
    <w:p>
      <w:pPr>
        <w:pStyle w:val="ListParagraph"/>
        <w:numPr>
          <w:ilvl w:val="0"/>
          <w:numId w:val="2"/>
        </w:numPr>
        <w:spacing w:after="80"/>
      </w:pPr>
      <w:r>
        <w:rPr>
          <w:rFonts w:ascii="Arial" w:cs="Arial" w:eastAsia="Arial" w:hAnsi="Arial"/>
          <w:sz w:val="22"/>
          <w:szCs w:val="22"/>
        </w:rPr>
        <w:t xml:space="preserve">Priority: 1 (sender rules should run before keyword rules)</w:t>
      </w:r>
    </w:p>
    <w:p>
      <w:pPr>
        <w:spacing w:after="200"/>
      </w:pPr>
    </w:p>
    <w:p>
      <w:pPr>
        <w:spacing w:after="120"/>
      </w:pPr>
      <w:r>
        <w:rPr>
          <w:rFonts w:ascii="Arial" w:cs="Arial" w:eastAsia="Arial" w:hAnsi="Arial"/>
          <w:b/>
          <w:bCs/>
          <w:sz w:val="22"/>
          <w:szCs w:val="22"/>
        </w:rPr>
        <w:t xml:space="preserve">Examples (populate with real addresses after cataloging):</w:t>
      </w:r>
    </w:p>
    <w:p>
      <w:pPr>
        <w:pStyle w:val="ListParagraph"/>
        <w:numPr>
          <w:ilvl w:val="0"/>
          <w:numId w:val="2"/>
        </w:numPr>
        <w:spacing w:after="80"/>
      </w:pPr>
      <w:r>
        <w:rPr>
          <w:rFonts w:ascii="Arial" w:cs="Arial" w:eastAsia="Arial" w:hAnsi="Arial"/>
          <w:sz w:val="22"/>
          <w:szCs w:val="22"/>
        </w:rPr>
        <w:t xml:space="preserve">From: [your attorney’s email] → Move to 07 - Legal</w:t>
      </w:r>
    </w:p>
    <w:p>
      <w:pPr>
        <w:pStyle w:val="ListParagraph"/>
        <w:numPr>
          <w:ilvl w:val="0"/>
          <w:numId w:val="2"/>
        </w:numPr>
        <w:spacing w:after="80"/>
      </w:pPr>
      <w:r>
        <w:rPr>
          <w:rFonts w:ascii="Arial" w:cs="Arial" w:eastAsia="Arial" w:hAnsi="Arial"/>
          <w:sz w:val="22"/>
          <w:szCs w:val="22"/>
        </w:rPr>
        <w:t xml:space="preserve">From: [your CPA’s email] → Move to 09 - Finance &amp; Accounting &gt; Accounting</w:t>
      </w:r>
    </w:p>
    <w:p>
      <w:pPr>
        <w:pStyle w:val="ListParagraph"/>
        <w:numPr>
          <w:ilvl w:val="0"/>
          <w:numId w:val="2"/>
        </w:numPr>
        <w:spacing w:after="80"/>
      </w:pPr>
      <w:r>
        <w:rPr>
          <w:rFonts w:ascii="Arial" w:cs="Arial" w:eastAsia="Arial" w:hAnsi="Arial"/>
          <w:sz w:val="22"/>
          <w:szCs w:val="22"/>
        </w:rPr>
        <w:t xml:space="preserve">From: [your primary investor contacts] → Move to 05 - Investors &amp; Capital &gt; Investor Relations</w:t>
      </w:r>
    </w:p>
    <w:p>
      <w:pPr>
        <w:pStyle w:val="ListParagraph"/>
        <w:numPr>
          <w:ilvl w:val="0"/>
          <w:numId w:val="2"/>
        </w:numPr>
        <w:spacing w:after="80"/>
      </w:pPr>
      <w:r>
        <w:rPr>
          <w:rFonts w:ascii="Arial" w:cs="Arial" w:eastAsia="Arial" w:hAnsi="Arial"/>
          <w:sz w:val="22"/>
          <w:szCs w:val="22"/>
        </w:rPr>
        <w:t xml:space="preserve">From: [your field superintendent/foreman] → Move to 01 - Operations</w:t>
      </w:r>
    </w:p>
    <w:p>
      <w:pPr>
        <w:pStyle w:val="ListParagraph"/>
        <w:numPr>
          <w:ilvl w:val="0"/>
          <w:numId w:val="2"/>
        </w:numPr>
        <w:spacing w:after="80"/>
      </w:pPr>
      <w:r>
        <w:rPr>
          <w:rFonts w:ascii="Arial" w:cs="Arial" w:eastAsia="Arial" w:hAnsi="Arial"/>
          <w:sz w:val="22"/>
          <w:szCs w:val="22"/>
        </w:rPr>
        <w:t xml:space="preserve">From: [your landman] → Move to 02 - Land &amp; Title</w:t>
      </w:r>
    </w:p>
    <w:p>
      <w:pPr>
        <w:spacing w:after="200"/>
      </w:pPr>
    </w:p>
    <w:p>
      <w:pPr>
        <w:pStyle w:val="Heading2"/>
      </w:pPr>
      <w:r>
        <w:t xml:space="preserve">Rules to Preserve</w:t>
      </w:r>
    </w:p>
    <w:p>
      <w:pPr>
        <w:spacing w:after="120"/>
      </w:pPr>
      <w:r>
        <w:rPr>
          <w:rFonts w:ascii="Arial" w:cs="Arial" w:eastAsia="Arial" w:hAnsi="Arial"/>
          <w:sz w:val="22"/>
          <w:szCs w:val="22"/>
        </w:rPr>
        <w:t xml:space="preserve">If you have existing Outlook rules that should be kept as-is, they will be mapped to the new folder structure during deployment. The cataloging script exports all existing rules to a readable format for review before any changes are made.</w:t>
      </w:r>
    </w:p>
    <w:p>
      <w:pPr>
        <w:spacing w:after="200"/>
      </w:pPr>
    </w:p>
    <w:p>
      <w:r>
        <w:br w:type="page"/>
      </w:r>
    </w:p>
    <w:p>
      <w:pPr>
        <w:pStyle w:val="Heading1"/>
      </w:pPr>
      <w:r>
        <w:t xml:space="preserve">Power Automate Flows</w:t>
      </w:r>
    </w:p>
    <w:p>
      <w:pPr>
        <w:spacing w:after="120"/>
      </w:pPr>
      <w:r>
        <w:rPr>
          <w:rFonts w:ascii="Arial" w:cs="Arial" w:eastAsia="Arial" w:hAnsi="Arial"/>
          <w:sz w:val="22"/>
          <w:szCs w:val="22"/>
        </w:rPr>
        <w:t xml:space="preserve">These flows run in the cloud via Microsoft Power Automate (included with Microsoft 365). They handle classification that Outlook rules cannot — primarily keyword-based matching across subject and body text for emails from new or unfamiliar senders.</w:t>
      </w:r>
    </w:p>
    <w:p>
      <w:pPr>
        <w:spacing w:after="200"/>
      </w:pPr>
    </w:p>
    <w:p>
      <w:pPr>
        <w:spacing w:after="120"/>
      </w:pPr>
      <w:r>
        <w:rPr>
          <w:rFonts w:ascii="Arial" w:cs="Arial" w:eastAsia="Arial" w:hAnsi="Arial"/>
          <w:b/>
          <w:bCs/>
          <w:sz w:val="22"/>
          <w:szCs w:val="22"/>
        </w:rPr>
        <w:t xml:space="preserve">How to implement: </w:t>
      </w:r>
      <w:r>
        <w:rPr>
          <w:rFonts w:ascii="Arial" w:cs="Arial" w:eastAsia="Arial" w:hAnsi="Arial"/>
          <w:sz w:val="22"/>
          <w:szCs w:val="22"/>
        </w:rPr>
        <w:t xml:space="preserve">Each flow is created in Power Automate (flow.microsoft.com). The IT Deployment Guide includes step-by-step instructions. Flows use the Outlook 365 connector and require the signed-in user’s mailbox permissions.</w:t>
      </w:r>
    </w:p>
    <w:p>
      <w:pPr>
        <w:spacing w:after="200"/>
      </w:pPr>
    </w:p>
    <w:p>
      <w:pPr>
        <w:spacing w:after="120"/>
      </w:pPr>
      <w:r>
        <w:rPr>
          <w:rFonts w:ascii="Arial" w:cs="Arial" w:eastAsia="Arial" w:hAnsi="Arial"/>
          <w:b/>
          <w:bCs/>
          <w:sz w:val="22"/>
          <w:szCs w:val="22"/>
        </w:rPr>
        <w:t xml:space="preserve">Conflict resolution: </w:t>
      </w:r>
      <w:r>
        <w:rPr>
          <w:rFonts w:ascii="Arial" w:cs="Arial" w:eastAsia="Arial" w:hAnsi="Arial"/>
          <w:sz w:val="22"/>
          <w:szCs w:val="22"/>
        </w:rPr>
        <w:t xml:space="preserve">If both an Outlook rule AND a Power Automate flow could match the same email, the Outlook rule wins (it runs first, in the client or server). Flows only process emails that are still in the Inbox after rules have run.</w:t>
      </w:r>
    </w:p>
    <w:p>
      <w:pPr>
        <w:spacing w:after="200"/>
      </w:pPr>
    </w:p>
    <w:p>
      <w:pPr>
        <w:pStyle w:val="Heading3"/>
      </w:pPr>
      <w:r>
        <w:t xml:space="preserve">Engineering Keyword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a new email arrives in Inbox</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Subject OR body contains ANY of: AFE, authorization for expenditure, drilling program, well plan, spud, completion design, frac design</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Already moved by Outlook rule; Sender matches a regulatory agency</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03 - Engineering &amp; Geology</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15 minutes (polling)</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Catches engineering emails from new or unknown senders that rules don’t cover.</w:t>
            </w:r>
          </w:p>
        </w:tc>
      </w:tr>
    </w:tbl>
    <w:p>
      <w:pPr>
        <w:spacing w:after="200"/>
      </w:pPr>
    </w:p>
    <w:p>
      <w:pPr>
        <w:pStyle w:val="Heading3"/>
      </w:pPr>
      <w:r>
        <w:t xml:space="preserve">Deal Flow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a new email arrives in Inbox</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Subject OR body contains ANY of: LOI, letter of intent, PSA, purchase and sale, data room, due diligence, acquisition opportunity, divestiture, marketed package</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Already moved by Outlook rule</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04 - Business Development &amp; Deals &gt; Deal Flow / Screening</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15 minutes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Catches inbound deal flow from brokers, banks, and new contacts. Emails land in Deal Flow / Screening for initial review before being assigned to a specific deal subfolder.</w:t>
            </w:r>
          </w:p>
        </w:tc>
      </w:tr>
    </w:tbl>
    <w:p>
      <w:pPr>
        <w:spacing w:after="200"/>
      </w:pPr>
    </w:p>
    <w:p>
      <w:pPr>
        <w:pStyle w:val="Heading3"/>
      </w:pPr>
      <w:r>
        <w:t xml:space="preserve">Investor Communication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a new email arrives in Inbox</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Subject OR body contains ANY of: capital call, distribution, investor update, PPM, subscription agreement, borrowing base, RBL, warehouse facility, bridge loan</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Already moved by Outlook rule</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05 - Investors &amp; Capital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15 minutes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3"/>
      </w:pPr>
      <w:r>
        <w:t xml:space="preserve">JV / Partner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a new email arrives in Inbox</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Subject OR body contains ANY of: JOA, joint operating agreement, working interest election, non-consent, AFE election, COPAS</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is from Peak 10’s own domain (internal); Already classified as Engineering (AFE can go either way — if the email is about creating an AFE, it’s Engineering; if about electing on someone else’s AFE, it’s JV)</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06 - JV &amp; Partners</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15 minutes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The AFE Election vs AFE Creation distinction is handled by checking whether the AFE originates from Peak 10 (Engineering) or from another operator (JV).</w:t>
            </w:r>
          </w:p>
        </w:tc>
      </w:tr>
    </w:tbl>
    <w:p>
      <w:pPr>
        <w:spacing w:after="200"/>
      </w:pPr>
    </w:p>
    <w:p>
      <w:pPr>
        <w:pStyle w:val="Heading3"/>
      </w:pPr>
      <w:r>
        <w:t xml:space="preserve">Legal Classifier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a new email arrives in Inbox</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domain matches known law firm domains (configurable list); OR subject contains: litigation, lawsuit, legal opinion, legal review</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subject also contains deal-related keywords (LOI, PSA, acquisition) — those go to BD instead</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to 07 - Legal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15 minutes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Requires a configurable list of known law firm domains. This list should be populated during initial setup.</w:t>
            </w:r>
          </w:p>
        </w:tc>
      </w:tr>
    </w:tbl>
    <w:p>
      <w:pPr>
        <w:spacing w:after="200"/>
      </w:pPr>
    </w:p>
    <w:p>
      <w:pPr>
        <w:pStyle w:val="Heading3"/>
      </w:pPr>
      <w:r>
        <w:t xml:space="preserve">Sent Email Reply Tracker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Scheduled — runs every 4 hours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Scan Sent Items for emails sent in the past 7 days. For each, check if a reply exists in the same conversationId. If no reply exists and the sent email contains question marks or request language.</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was a forward, auto-reply, or newsletter</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Flag the original sent email; Add to ⏳ WAITING ON REPLY folder (copy, not move)</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4 hours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This flow feeds into the Phase 3 reminder app. It pre-populates the WAITING ON REPLY folder.</w:t>
            </w:r>
          </w:p>
        </w:tc>
      </w:tr>
    </w:tbl>
    <w:p>
      <w:pPr>
        <w:spacing w:after="200"/>
      </w:pPr>
    </w:p>
    <w:p>
      <w:pPr>
        <w:pStyle w:val="Heading3"/>
      </w:pPr>
      <w:r>
        <w:t xml:space="preserve">Inbox Cleanup — Unactioned Alert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8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Trigger</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Scheduled — runs every Friday at 2:00 PM</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Conditions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Count emails remaining in Inbox that are older than 48 hours</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Exclude If</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If count &gt; 10: Send a summary email to user listing the top 10 oldest unfiled emails with subject, sender, and date. Subject: “Weekly Inbox Sweep — [count] emails need filing”</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 Frequency</w:t>
            </w:r>
          </w:p>
        </w:tc>
        <w:tc>
          <w:tcPr>
            <w:tcW w:type="dxa" w:w="8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Weekly (Friday 2 PM)</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8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Gentle nudge for the weekly sweep. These are emails that neither rules nor keyword flows could classify.</w:t>
            </w:r>
          </w:p>
        </w:tc>
      </w:tr>
    </w:tbl>
    <w:p>
      <w:pPr>
        <w:spacing w:after="200"/>
      </w:pPr>
    </w:p>
    <w:p>
      <w:r>
        <w:br w:type="page"/>
      </w:r>
    </w:p>
    <w:p>
      <w:pPr>
        <w:pStyle w:val="Heading1"/>
      </w:pPr>
      <w:r>
        <w:t xml:space="preserve">Ongoing Maintenance Schedule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44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4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Inbox Sweep</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Friday, 15 min</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CEO</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Review emails still in Inbox. File or dismiss. These become training data for new rules.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Rule Tuning</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First Monday of month</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CEO + IT</w:t>
            </w:r>
          </w:p>
        </w:tc>
        <w:tc>
          <w:tcPr>
            <w:tcW w:type="dxa" w:w="4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Review misfiles from the past month. Add new sender rules. Adjust keyword flows.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Subfolder Requests</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As needed</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CEO</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the app flags a new project name, confirm or dismiss subfolder creation.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Quarterly Archive</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Every quarter</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IT (scripted)</w:t>
            </w:r>
          </w:p>
        </w:tc>
        <w:tc>
          <w:tcPr>
            <w:tcW w:type="dxa" w:w="4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Run archive script to move 90+ day emails from working folders to Archive mirrors. Exceptions: active deals, active litigation.</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Report Refresh</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Quarterly</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IT (scripted)</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Re-run sender frequency analysis to identify new high-volume senders that should have dedicated rules.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Dead Deal Review</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CEO (via app)</w:t>
            </w:r>
          </w:p>
        </w:tc>
        <w:tc>
          <w:tcPr>
            <w:tcW w:type="dxa" w:w="4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Review deals flagged as inactive by the intelligence system. Approve or defer moves to Dead Deals.</w:t>
            </w:r>
          </w:p>
        </w:tc>
      </w:tr>
    </w:tbl>
    <w:p>
      <w:pPr>
        <w:spacing w:after="200"/>
      </w:pPr>
    </w:p>
    <w:p>
      <w:pPr>
        <w:pStyle w:val="Heading1"/>
      </w:pPr>
      <w:r>
        <w:t xml:space="preserve">Quarterly Archive Process</w:t>
      </w:r>
    </w:p>
    <w:p>
      <w:pPr>
        <w:spacing w:after="120"/>
      </w:pPr>
      <w:r>
        <w:rPr>
          <w:rFonts w:ascii="Arial" w:cs="Arial" w:eastAsia="Arial" w:hAnsi="Arial"/>
          <w:sz w:val="22"/>
          <w:szCs w:val="22"/>
        </w:rPr>
        <w:t xml:space="preserve">A separate PowerShell script (Invoke-Peak10Archive.ps1, included in this delivery) handles the quarterly archive:</w:t>
      </w:r>
    </w:p>
    <w:p>
      <w:pPr>
        <w:spacing w:after="200"/>
      </w:pPr>
    </w:p>
    <w:p>
      <w:pPr>
        <w:pStyle w:val="ListParagraph"/>
        <w:numPr>
          <w:ilvl w:val="0"/>
          <w:numId w:val="3"/>
        </w:numPr>
        <w:spacing w:after="80"/>
      </w:pPr>
      <w:r>
        <w:rPr>
          <w:rFonts w:ascii="Arial" w:cs="Arial" w:eastAsia="Arial" w:hAnsi="Arial"/>
          <w:sz w:val="22"/>
          <w:szCs w:val="22"/>
        </w:rPr>
        <w:t xml:space="preserve">Scans all functional folders (01 through 11) for emails older than 90 days</w:t>
      </w:r>
    </w:p>
    <w:p>
      <w:pPr>
        <w:pStyle w:val="ListParagraph"/>
        <w:numPr>
          <w:ilvl w:val="0"/>
          <w:numId w:val="3"/>
        </w:numPr>
        <w:spacing w:after="80"/>
      </w:pPr>
      <w:r>
        <w:rPr>
          <w:rFonts w:ascii="Arial" w:cs="Arial" w:eastAsia="Arial" w:hAnsi="Arial"/>
          <w:sz w:val="22"/>
          <w:szCs w:val="22"/>
        </w:rPr>
        <w:t xml:space="preserve">Excludes emails in conversations that have had activity in the past 30 days (keeps active threads intact)</w:t>
      </w:r>
    </w:p>
    <w:p>
      <w:pPr>
        <w:pStyle w:val="ListParagraph"/>
        <w:numPr>
          <w:ilvl w:val="0"/>
          <w:numId w:val="3"/>
        </w:numPr>
        <w:spacing w:after="80"/>
      </w:pPr>
      <w:r>
        <w:rPr>
          <w:rFonts w:ascii="Arial" w:cs="Arial" w:eastAsia="Arial" w:hAnsi="Arial"/>
          <w:sz w:val="22"/>
          <w:szCs w:val="22"/>
        </w:rPr>
        <w:t xml:space="preserve">Excludes all emails in 04 - BD &amp; Deals &gt; Active Deals (active deals are never auto-archived)</w:t>
      </w:r>
    </w:p>
    <w:p>
      <w:pPr>
        <w:pStyle w:val="ListParagraph"/>
        <w:numPr>
          <w:ilvl w:val="0"/>
          <w:numId w:val="3"/>
        </w:numPr>
        <w:spacing w:after="80"/>
      </w:pPr>
      <w:r>
        <w:rPr>
          <w:rFonts w:ascii="Arial" w:cs="Arial" w:eastAsia="Arial" w:hAnsi="Arial"/>
          <w:sz w:val="22"/>
          <w:szCs w:val="22"/>
        </w:rPr>
        <w:t xml:space="preserve">Excludes all emails in 07 - Legal &gt; Litigation (active litigation is never auto-archived)</w:t>
      </w:r>
    </w:p>
    <w:p>
      <w:pPr>
        <w:pStyle w:val="ListParagraph"/>
        <w:numPr>
          <w:ilvl w:val="0"/>
          <w:numId w:val="3"/>
        </w:numPr>
        <w:spacing w:after="80"/>
      </w:pPr>
      <w:r>
        <w:rPr>
          <w:rFonts w:ascii="Arial" w:cs="Arial" w:eastAsia="Arial" w:hAnsi="Arial"/>
          <w:sz w:val="22"/>
          <w:szCs w:val="22"/>
        </w:rPr>
        <w:t xml:space="preserve">Moves qualifying emails to the matching Archive &gt; [Folder] &gt; [Subfolder] path</w:t>
      </w:r>
    </w:p>
    <w:p>
      <w:pPr>
        <w:pStyle w:val="ListParagraph"/>
        <w:numPr>
          <w:ilvl w:val="0"/>
          <w:numId w:val="3"/>
        </w:numPr>
        <w:spacing w:after="80"/>
      </w:pPr>
      <w:r>
        <w:rPr>
          <w:rFonts w:ascii="Arial" w:cs="Arial" w:eastAsia="Arial" w:hAnsi="Arial"/>
          <w:sz w:val="22"/>
          <w:szCs w:val="22"/>
        </w:rPr>
        <w:t xml:space="preserve">Generates a report of what was archived</w:t>
      </w:r>
    </w:p>
    <w:p>
      <w:pPr>
        <w:spacing w:after="200"/>
      </w:pPr>
    </w:p>
    <w:p>
      <w:pPr>
        <w:spacing w:after="120"/>
      </w:pPr>
      <w:r>
        <w:rPr>
          <w:rFonts w:ascii="Arial" w:cs="Arial" w:eastAsia="Arial" w:hAnsi="Arial"/>
          <w:b/>
          <w:bCs/>
          <w:sz w:val="22"/>
          <w:szCs w:val="22"/>
        </w:rPr>
        <w:t xml:space="preserve">The archive script runs in Preview mode by default. </w:t>
      </w:r>
      <w:r>
        <w:rPr>
          <w:rFonts w:ascii="Arial" w:cs="Arial" w:eastAsia="Arial" w:hAnsi="Arial"/>
          <w:sz w:val="22"/>
          <w:szCs w:val="22"/>
        </w:rPr>
        <w:t xml:space="preserve">Your IT person reviews the preview report before running in Execute mode.</w:t>
      </w:r>
    </w:p>
    <w:sectPr>
      <w:headerReference w:type="default" r:id="rId6"/>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2E75B6"/>
        <w:sz w:val="16"/>
        <w:szCs w:val="16"/>
      </w:rPr>
      <w:t xml:space="preserve">PEAK 10 ENERGY</w:t>
    </w:r>
    <w:r>
      <w:rPr>
        <w:rFonts w:ascii="Arial" w:cs="Arial" w:eastAsia="Arial" w:hAnsi="Arial"/>
        <w:color w:val="888888"/>
        <w:sz w:val="16"/>
        <w:szCs w:val="16"/>
      </w:rPr>
      <w:t xml:space="preserve">  |  Phase 2: Ongoing Automation Rules &amp; 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2026-02-26T17:56:51.320Z</dcterms:created>
  <dcterms:modified xsi:type="dcterms:W3CDTF">2026-02-26T17:56:51.322Z</dcterms:modified>
</cp:coreProperties>
</file>

<file path=docProps/custom.xml><?xml version="1.0" encoding="utf-8"?>
<Properties xmlns="http://schemas.openxmlformats.org/officeDocument/2006/custom-properties" xmlns:vt="http://schemas.openxmlformats.org/officeDocument/2006/docPropsVTypes"/>
</file>