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9F6"/>
  <w:body>
    <w:p>
      <w:pPr>
        <w:spacing w:before="0" w:after="40"/>
        <w:jc w:val="center"/>
      </w:pPr>
      <w:r>
        <w:rPr>
          <w:b/>
          <w:color w:val="1C1917"/>
          <w:sz w:val="36"/>
        </w:rPr>
        <w:t>KHUSHBOO DODANI</w:t>
      </w:r>
    </w:p>
    <w:p>
      <w:pPr>
        <w:spacing w:before="0" w:after="40"/>
        <w:jc w:val="center"/>
      </w:pPr>
      <w:r>
        <w:rPr>
          <w:color w:val="78716C"/>
          <w:sz w:val="18"/>
        </w:rPr>
        <w:t xml:space="preserve">San Francisco Bay Area  |  khushdodani@gmail.com  |  </w:t>
      </w:r>
      <w:hyperlink r:id="rId9">
        <w:r>
          <w:rPr>
            <w:color w:val="78716C"/>
            <w:sz w:val="18"/>
            <w:szCs w:val="18"/>
            <w:u w:val="single"/>
          </w:rPr>
          <w:t xml:space="preserve">LinkedIn</w:t>
        </w:r>
      </w:hyperlink>
      <w:r>
        <w:rPr>
          <w:color w:val="78716C"/>
          <w:sz w:val="18"/>
        </w:rPr>
        <w:t xml:space="preserve">  |  </w:t>
      </w:r>
      <w:hyperlink r:id="rId10">
        <w:r>
          <w:rPr>
            <w:color w:val="78716C"/>
            <w:sz w:val="18"/>
            <w:szCs w:val="18"/>
            <w:u w:val="single"/>
          </w:rPr>
          <w:t xml:space="preserve">GitHub</w:t>
        </w:r>
      </w:hyperlink>
      <w:r>
        <w:rPr>
          <w:color w:val="78716C"/>
          <w:sz w:val="18"/>
        </w:rPr>
        <w:t xml:space="preserve">  |  </w:t>
      </w:r>
      <w:hyperlink r:id="rId11">
        <w:r>
          <w:rPr>
            <w:color w:val="78716C"/>
            <w:sz w:val="18"/>
            <w:szCs w:val="18"/>
            <w:u w:val="single"/>
          </w:rPr>
          <w:t xml:space="preserve">Portfolio</w:t>
        </w:r>
      </w:hyperlink>
    </w:p>
    <w:p>
      <w:pPr>
        <w:spacing w:before="40" w:after="40"/>
        <w:jc w:val="center"/>
      </w:pPr>
      <w:r>
        <w:rPr>
          <w:b/>
          <w:color w:val="6D28D9"/>
          <w:sz w:val="24"/>
        </w:rPr>
        <w:t>PRODUCT MANAGER</w:t>
      </w:r>
    </w:p>
    <w:p>
      <w:pPr>
        <w:spacing w:before="20" w:after="80"/>
        <w:jc w:val="center"/>
      </w:pPr>
      <w:r>
        <w:rPr>
          <w:color w:val="5B21B6"/>
          <w:sz w:val="18"/>
        </w:rPr>
        <w:t>Clinical Documentation Workflows  •  EHR-Embedded Experiences  •  Ambient &amp; AI-Generated Documentation  •  Clinician Adoption</w:t>
      </w:r>
    </w:p>
    <w:p>
      <w:pPr>
        <w:spacing w:before="40" w:after="40"/>
        <w:pBdr>
          <w:bottom w:val="single" w:sz="6" w:space="1" w:color="6D28D9"/>
        </w:pBdr>
      </w:pPr>
    </w:p>
    <w:p>
      <w:pPr>
        <w:spacing w:before="80" w:after="80"/>
      </w:pPr>
      <w:r>
        <w:rPr>
          <w:i w:val="0"/>
          <w:color w:val="44403C"/>
          <w:sz w:val="19"/>
        </w:rPr>
        <w:t>Product Manager building clinician-facing documentation products and AI-assisted workflows in regulated healthcare. Focused on reducing documentation burden and improving note quality within the tools clinicians already use. Ships AI-generated clinical documentation and artifacts with evidence traceability and explicit human-in-the-loop boundaries. Master of Business Analytics; BBA in Marketing.</w:t>
      </w:r>
    </w:p>
    <w:p>
      <w:pPr>
        <w:spacing w:before="40" w:after="40"/>
        <w:pBdr>
          <w:bottom w:val="single" w:sz="6" w:space="1" w:color="6D28D9"/>
        </w:pBdr>
      </w:pPr>
    </w:p>
    <w:p>
      <w:pPr>
        <w:keepNext/>
        <w:spacing w:before="160" w:after="40"/>
      </w:pPr>
      <w:r>
        <w:rPr>
          <w:b/>
          <w:color w:val="6D28D9"/>
          <w:sz w:val="21"/>
        </w:rPr>
        <w:t>EXPERIENCE</w:t>
      </w:r>
    </w:p>
    <w:p>
      <w:pPr>
        <w:keepNext/>
        <w:spacing w:before="100" w:after="20"/>
      </w:pPr>
      <w:r>
        <w:rPr>
          <w:b/>
          <w:color w:val="1C1917"/>
          <w:sz w:val="20"/>
        </w:rPr>
        <w:t>Product Manager — Clinician Experience &amp; Clinical Documentation  |  WorkSafeBC</w:t>
      </w:r>
      <w:r>
        <w:rPr>
          <w:b w:val="0"/>
          <w:color w:val="78716C"/>
          <w:sz w:val="18"/>
        </w:rPr>
        <w:t xml:space="preserve">    Apr 2024 – Present</w:t>
      </w:r>
    </w:p>
    <w:p>
      <w:pPr>
        <w:keepNext/>
        <w:spacing w:before="0" w:after="20"/>
      </w:pPr>
      <w:r>
        <w:rPr>
          <w:b w:val="0"/>
          <w:i/>
          <w:color w:val="4F46E5"/>
          <w:sz w:val="18"/>
        </w:rPr>
        <w:t>Clinical Documentation &amp; Note Quality</w:t>
      </w:r>
    </w:p>
    <w:p>
      <w:pPr>
        <w:pStyle w:val="ListBullet"/>
        <w:spacing w:before="20" w:after="20"/>
        <w:ind w:left="576" w:hanging="288"/>
      </w:pPr>
      <w:r>
        <w:rPr>
          <w:color w:val="44403C"/>
          <w:sz w:val="19"/>
        </w:rPr>
        <w:t>Own the clinician-facing products physicians and care teams use to document care, request treatment, and close out administrative work after the patient leaves.</w:t>
      </w:r>
    </w:p>
    <w:p>
      <w:pPr>
        <w:pStyle w:val="ListBullet"/>
        <w:spacing w:before="20" w:after="20"/>
        <w:ind w:left="576" w:hanging="288"/>
      </w:pPr>
      <w:r>
        <w:rPr>
          <w:color w:val="44403C"/>
          <w:sz w:val="19"/>
        </w:rPr>
        <w:t>Treated documentation completeness as a product quality problem, not a training problem: Form 8/11 clinical notes were being truncated by a 2001 billing specification that had frozen the form since 2015, pushing 52,000 faxes per year and roughly 28M keystrokes of manual re-keying into the system.</w:t>
      </w:r>
    </w:p>
    <w:p>
      <w:pPr>
        <w:pStyle w:val="ListBullet"/>
        <w:spacing w:before="20" w:after="20"/>
        <w:ind w:left="576" w:hanging="288"/>
      </w:pPr>
      <w:r>
        <w:rPr>
          <w:color w:val="44403C"/>
          <w:sz w:val="19"/>
        </w:rPr>
        <w:t>Shipped front-end validation and a simplified documentation flow that improved the quality of what arrived downstream, decreased support calls by 30%, and increased clinician satisfaction (NPS +25) — the difference between a note that is technically submitted and one a reviewer can actually act on.</w:t>
      </w:r>
    </w:p>
    <w:p>
      <w:pPr>
        <w:keepNext/>
        <w:spacing w:before="0" w:after="20"/>
      </w:pPr>
      <w:r>
        <w:rPr>
          <w:b w:val="0"/>
          <w:i/>
          <w:color w:val="4F46E5"/>
          <w:sz w:val="18"/>
        </w:rPr>
        <w:t>EHR Integration &amp; In-Workflow Experience</w:t>
      </w:r>
    </w:p>
    <w:p>
      <w:pPr>
        <w:pStyle w:val="ListBullet"/>
        <w:spacing w:before="20" w:after="20"/>
        <w:ind w:left="576" w:hanging="288"/>
      </w:pPr>
      <w:r>
        <w:rPr>
          <w:color w:val="44403C"/>
          <w:sz w:val="19"/>
        </w:rPr>
        <w:t>Ran 15 physician interviews, usability sessions, and contextual observation of case managers and clinic office administrators, producing the core conviction for the roadmap: GPs will not leave their EMR for a separate application. Redirected the program from portal improvements to EMR-native submission on that finding.</w:t>
      </w:r>
    </w:p>
    <w:p>
      <w:pPr>
        <w:pStyle w:val="ListBullet"/>
        <w:spacing w:before="20" w:after="20"/>
        <w:ind w:left="576" w:hanging="288"/>
      </w:pPr>
      <w:r>
        <w:rPr>
          <w:color w:val="44403C"/>
          <w:sz w:val="19"/>
        </w:rPr>
        <w:t>Led 0-to-1 discovery and delivery for point-of-care clinical documentation submitted directly from OSCAR (community GP EMR) instead of a side portal — POC validated March 2025, proving clinical reporting could be decoupled from the legacy billing channel it had been trapped in.</w:t>
      </w:r>
    </w:p>
    <w:p>
      <w:pPr>
        <w:pStyle w:val="ListBullet"/>
        <w:spacing w:before="20" w:after="20"/>
        <w:ind w:left="576" w:hanging="288"/>
      </w:pPr>
      <w:r>
        <w:rPr>
          <w:color w:val="44403C"/>
          <w:sz w:val="19"/>
        </w:rPr>
        <w:t>Made the embedded-vs-standalone tradeoffs explicit with architects: JSON for POC speed against FHIR as the documented upgrade path, Azure APIM as a reusable facade against point-to-point integrations, OAuth 2.0 / mTLS for the clinical channel.</w:t>
      </w:r>
    </w:p>
    <w:p>
      <w:pPr>
        <w:pStyle w:val="ListBullet"/>
        <w:spacing w:before="20" w:after="20"/>
        <w:ind w:left="576" w:hanging="288"/>
      </w:pPr>
      <w:r>
        <w:rPr>
          <w:color w:val="44403C"/>
          <w:sz w:val="19"/>
        </w:rPr>
        <w:t>Secured $80K in Innovation Council funding and a vendor-agnostic integration roadmap covering roughly 70% of the provider ecosystem, coordinating 50 EMR vendors plus TELUS, ForgeRock, and government partners.</w:t>
      </w:r>
    </w:p>
    <w:p>
      <w:pPr>
        <w:keepNext/>
        <w:spacing w:before="0" w:after="20"/>
      </w:pPr>
      <w:r>
        <w:rPr>
          <w:b w:val="0"/>
          <w:i/>
          <w:color w:val="4F46E5"/>
          <w:sz w:val="18"/>
        </w:rPr>
        <w:t>AI-Generated Clinical Documentation &amp; Clinician Trust</w:t>
      </w:r>
    </w:p>
    <w:p>
      <w:pPr>
        <w:pStyle w:val="ListBullet"/>
        <w:spacing w:before="20" w:after="20"/>
        <w:ind w:left="576" w:hanging="288"/>
      </w:pPr>
      <w:r>
        <w:rPr>
          <w:color w:val="44403C"/>
          <w:sz w:val="19"/>
        </w:rPr>
        <w:t>Built Referral Radar, an LLM/RAG prototype that reads 20–75 unstructured documents per case — intake notes, medical reports, counselling plans — to generate summaries, surface supporting evidence, and recommend referrals, reducing manual review time and enabling faster, evidence-backed decisions; 2nd place of 36 entries at InnoFest 2025.</w:t>
      </w:r>
    </w:p>
    <w:p>
      <w:pPr>
        <w:pStyle w:val="ListBullet"/>
        <w:spacing w:before="20" w:after="20"/>
        <w:ind w:left="576" w:hanging="288"/>
      </w:pPr>
      <w:r>
        <w:rPr>
          <w:color w:val="44403C"/>
          <w:sz w:val="19"/>
        </w:rPr>
        <w:t>Built toward ambient documentation from both directions — structured capture at the point of care in the EMR, and LLM summarization of unstructured clinical records with linked evidence.</w:t>
      </w:r>
    </w:p>
    <w:p>
      <w:pPr>
        <w:pStyle w:val="ListBullet"/>
        <w:spacing w:before="20" w:after="20"/>
        <w:ind w:left="576" w:hanging="288"/>
      </w:pPr>
      <w:r>
        <w:rPr>
          <w:color w:val="44403C"/>
          <w:sz w:val="19"/>
        </w:rPr>
        <w:t>Rejected a ranked recommendation list in favour of evidence traces back to source documents, because reviewers will not act on guidance they cannot verify. Set the evaluation bar on explainability and traceability rather than automation rate.</w:t>
      </w:r>
    </w:p>
    <w:p>
      <w:pPr>
        <w:pStyle w:val="ListBullet"/>
        <w:spacing w:before="20" w:after="20"/>
        <w:ind w:left="576" w:hanging="288"/>
      </w:pPr>
      <w:r>
        <w:rPr>
          <w:color w:val="44403C"/>
          <w:sz w:val="19"/>
        </w:rPr>
        <w:t>Refused auto-approve on treatment extensions after analysis of 139K historical requests showed 79% were always approved — on an $80M spend category, that aggregate was the argument against automating, not for it. Kept clinical judgment with the reviewer; AI retrieves, humans decide.</w:t>
      </w:r>
    </w:p>
    <w:p>
      <w:pPr>
        <w:pStyle w:val="ListBullet"/>
        <w:spacing w:before="20" w:after="20"/>
        <w:ind w:left="576" w:hanging="288"/>
      </w:pPr>
      <w:r>
        <w:rPr>
          <w:color w:val="44403C"/>
          <w:sz w:val="19"/>
        </w:rPr>
        <w:t>Unblocked a stalled two-week AI sprint when production claim data was unavailable by generating synthetic case data and validating it with case managers before build.</w:t>
      </w:r>
    </w:p>
    <w:p>
      <w:pPr>
        <w:pStyle w:val="ListBullet"/>
        <w:spacing w:before="20" w:after="20"/>
        <w:ind w:left="576" w:hanging="288"/>
      </w:pPr>
      <w:r>
        <w:rPr>
          <w:color w:val="44403C"/>
          <w:sz w:val="19"/>
        </w:rPr>
        <w:t>Prototype personally with AI tooling — Lovable and GitHub Copilot for concept-to-validation, n8n for multi-agent workflows — compressing discovery-to-engineering timelines before build investment.</w:t>
      </w:r>
    </w:p>
    <w:p>
      <w:pPr>
        <w:keepNext/>
        <w:spacing w:before="0" w:after="20"/>
      </w:pPr>
      <w:r>
        <w:rPr>
          <w:b w:val="0"/>
          <w:i/>
          <w:color w:val="4F46E5"/>
          <w:sz w:val="18"/>
        </w:rPr>
        <w:t>Adoption, Retention &amp; Measurement</w:t>
      </w:r>
    </w:p>
    <w:p>
      <w:pPr>
        <w:pStyle w:val="ListBullet"/>
        <w:spacing w:before="20" w:after="20"/>
        <w:ind w:left="576" w:hanging="288"/>
      </w:pPr>
      <w:r>
        <w:rPr>
          <w:color w:val="44403C"/>
          <w:sz w:val="19"/>
        </w:rPr>
        <w:t>Rebuilt high-volume clinician submission after segmentation showed 25 of 3,795 organizations generated 50% of remaining paper volume (~280K blocked line items): cut the journey from 11 screens to 5, shifted paper from 56% to 19% of line items, and grew digital channel share from 39% to 55% — securing $580K in funding.</w:t>
      </w:r>
    </w:p>
    <w:p>
      <w:pPr>
        <w:pStyle w:val="ListBullet"/>
        <w:spacing w:before="20" w:after="20"/>
        <w:ind w:left="576" w:hanging="288"/>
      </w:pPr>
      <w:r>
        <w:rPr>
          <w:color w:val="44403C"/>
          <w:sz w:val="19"/>
        </w:rPr>
        <w:t>Instrumented PostHog funnels before launch and ran named-cohort dark, soft, and hard launches so adoption and clinician drop-off were visible within days rather than after a big-bang cutover, protecting existing digital volume while a new high-volume segment activated.</w:t>
      </w:r>
    </w:p>
    <w:p>
      <w:pPr>
        <w:pStyle w:val="ListBullet"/>
        <w:spacing w:before="20" w:after="20"/>
        <w:ind w:left="576" w:hanging="288"/>
      </w:pPr>
      <w:r>
        <w:rPr>
          <w:color w:val="44403C"/>
          <w:sz w:val="19"/>
        </w:rPr>
        <w:t>Led a CIAM migration of 5,600 healthcare professionals across 500 organizations on a portal carrying 62,000+ annual referrals — 0 service disruptions and 100% of active accounts transitioned on deadline.</w:t>
      </w:r>
    </w:p>
    <w:p>
      <w:pPr>
        <w:keepNext/>
        <w:spacing w:before="100" w:after="20"/>
      </w:pPr>
      <w:r>
        <w:rPr>
          <w:b/>
          <w:color w:val="1C1917"/>
          <w:sz w:val="20"/>
        </w:rPr>
        <w:t>Product Manager  |  Technical Safety BC</w:t>
      </w:r>
      <w:r>
        <w:rPr>
          <w:b w:val="0"/>
          <w:color w:val="78716C"/>
          <w:sz w:val="18"/>
        </w:rPr>
        <w:t xml:space="preserve">    Oct 2021 – Apr 2024</w:t>
      </w:r>
    </w:p>
    <w:p>
      <w:pPr>
        <w:pStyle w:val="ListBullet"/>
        <w:spacing w:before="20" w:after="20"/>
        <w:ind w:left="576" w:hanging="288"/>
      </w:pPr>
      <w:r>
        <w:rPr>
          <w:color w:val="44403C"/>
          <w:sz w:val="19"/>
        </w:rPr>
        <w:t>Shipped NLP-powered email classification into a live operational workflow to automate routing and triage of incoming requests — production machine learning in a regulated environment, and the predecessor to later LLM work.</w:t>
      </w:r>
    </w:p>
    <w:p>
      <w:pPr>
        <w:pStyle w:val="ListBullet"/>
        <w:spacing w:before="20" w:after="20"/>
        <w:ind w:left="576" w:hanging="288"/>
      </w:pPr>
      <w:r>
        <w:rPr>
          <w:color w:val="44403C"/>
          <w:sz w:val="19"/>
        </w:rPr>
        <w:t>Led discovery for a mobile remote inspections platform through contextual research with field inspectors and usability testing before development investment.</w:t>
      </w:r>
    </w:p>
    <w:p>
      <w:pPr>
        <w:pStyle w:val="ListBullet"/>
        <w:spacing w:before="20" w:after="20"/>
        <w:ind w:left="576" w:hanging="288"/>
      </w:pPr>
      <w:r>
        <w:rPr>
          <w:color w:val="44403C"/>
          <w:sz w:val="19"/>
        </w:rPr>
        <w:t>Built operational analytics identifying an 11.7% average annual churn rate and an RFM segmentation model that drove targeted engagement campaigns retaining 78% of high-risk customers.</w:t>
      </w:r>
    </w:p>
    <w:p>
      <w:pPr>
        <w:keepNext/>
        <w:spacing w:before="100" w:after="20"/>
      </w:pPr>
      <w:r>
        <w:rPr>
          <w:b/>
          <w:color w:val="1C1917"/>
          <w:sz w:val="20"/>
        </w:rPr>
        <w:t>Strategy Consultant  |  180 Degrees Consulting — University of British Columbia</w:t>
      </w:r>
      <w:r>
        <w:rPr>
          <w:b w:val="0"/>
          <w:color w:val="78716C"/>
          <w:sz w:val="18"/>
        </w:rPr>
        <w:t xml:space="preserve">    Sep 2020 – Oct 2021</w:t>
      </w:r>
    </w:p>
    <w:p>
      <w:pPr>
        <w:pStyle w:val="ListBullet"/>
        <w:spacing w:before="20" w:after="20"/>
        <w:ind w:left="576" w:hanging="288"/>
      </w:pPr>
      <w:r>
        <w:rPr>
          <w:color w:val="44403C"/>
          <w:sz w:val="19"/>
        </w:rPr>
        <w:t>Built product and market strategies for nonprofit and clean energy clients; designed a data-driven acquisition strategy for Open Primaries that cut bounce rate 37% while doubling subscriptions.</w:t>
      </w:r>
    </w:p>
    <w:p>
      <w:pPr>
        <w:keepNext/>
        <w:spacing w:before="100" w:after="20"/>
      </w:pPr>
      <w:r>
        <w:rPr>
          <w:b/>
          <w:color w:val="1C1917"/>
          <w:sz w:val="20"/>
        </w:rPr>
        <w:t>SEO Consultant  |  Convertus</w:t>
      </w:r>
      <w:r>
        <w:rPr>
          <w:b w:val="0"/>
          <w:color w:val="78716C"/>
          <w:sz w:val="18"/>
        </w:rPr>
        <w:t xml:space="preserve">    May 2018 – Jul 2019</w:t>
      </w:r>
    </w:p>
    <w:p>
      <w:pPr>
        <w:pStyle w:val="ListBullet"/>
        <w:spacing w:before="20" w:after="20"/>
        <w:ind w:left="576" w:hanging="288"/>
      </w:pPr>
      <w:r>
        <w:rPr>
          <w:color w:val="44403C"/>
          <w:sz w:val="19"/>
        </w:rPr>
        <w:t>Built analytics-driven growth strategies for 75+ client websites, increasing organic performance ~150%, and a forecasting tool predicting SEO performance with ~85% accuracy.</w:t>
      </w:r>
    </w:p>
    <w:p>
      <w:pPr>
        <w:spacing w:before="40" w:after="40"/>
        <w:pBdr>
          <w:bottom w:val="single" w:sz="6" w:space="1" w:color="6D28D9"/>
        </w:pBdr>
      </w:pPr>
    </w:p>
    <w:p>
      <w:pPr>
        <w:keepNext/>
        <w:spacing w:before="160" w:after="40"/>
      </w:pPr>
      <w:r>
        <w:rPr>
          <w:b/>
          <w:color w:val="6D28D9"/>
          <w:sz w:val="21"/>
        </w:rPr>
        <w:t>EDUCATION</w:t>
      </w:r>
    </w:p>
    <w:p>
      <w:pPr>
        <w:keepNext/>
        <w:spacing w:before="100" w:after="20"/>
      </w:pPr>
      <w:r>
        <w:rPr>
          <w:b/>
          <w:color w:val="1C1917"/>
          <w:sz w:val="20"/>
        </w:rPr>
        <w:t>Master of Business Analytics  |  University of British Columbia</w:t>
      </w:r>
      <w:r>
        <w:rPr>
          <w:b w:val="0"/>
          <w:color w:val="78716C"/>
          <w:sz w:val="18"/>
        </w:rPr>
        <w:t xml:space="preserve">    </w:t>
      </w:r>
    </w:p>
    <w:p>
      <w:pPr>
        <w:spacing w:before="40" w:after="40"/>
      </w:pPr>
      <w:r>
        <w:rPr>
          <w:i w:val="0"/>
          <w:color w:val="78716C"/>
          <w:sz w:val="18"/>
        </w:rPr>
        <w:t>Python  •  SQL  •  Machine Learning  •  Optimization  •  Product Analytics</w:t>
      </w:r>
    </w:p>
    <w:p>
      <w:pPr>
        <w:keepNext/>
        <w:spacing w:before="100" w:after="20"/>
      </w:pPr>
      <w:r>
        <w:rPr>
          <w:b/>
          <w:color w:val="1C1917"/>
          <w:sz w:val="20"/>
        </w:rPr>
        <w:t>Bachelor of Business Administration (Marketing)  |  British Columbia Institute of Technology</w:t>
      </w:r>
      <w:r>
        <w:rPr>
          <w:b w:val="0"/>
          <w:color w:val="78716C"/>
          <w:sz w:val="18"/>
        </w:rPr>
        <w:t xml:space="preserve">    </w:t>
      </w:r>
    </w:p>
    <w:p>
      <w:pPr>
        <w:spacing w:before="40" w:after="40"/>
        <w:pBdr>
          <w:bottom w:val="single" w:sz="6" w:space="1" w:color="6D28D9"/>
        </w:pBdr>
      </w:pPr>
    </w:p>
    <w:p>
      <w:pPr>
        <w:keepNext/>
        <w:spacing w:before="160" w:after="40"/>
      </w:pPr>
      <w:r>
        <w:rPr>
          <w:b/>
          <w:color w:val="6D28D9"/>
          <w:sz w:val="21"/>
        </w:rPr>
        <w:t>LEADERSHIP</w:t>
      </w:r>
    </w:p>
    <w:p>
      <w:pPr>
        <w:keepNext/>
        <w:spacing w:before="0" w:after="20"/>
      </w:pPr>
      <w:r>
        <w:rPr>
          <w:b/>
          <w:i w:val="0"/>
          <w:color w:val="1C1917"/>
          <w:sz w:val="19"/>
        </w:rPr>
        <w:t>Speaker — ProductCamp BC (2025)</w:t>
      </w:r>
    </w:p>
    <w:p>
      <w:pPr>
        <w:spacing w:before="0" w:after="40"/>
      </w:pPr>
      <w:r>
        <w:rPr>
          <w:i/>
          <w:color w:val="44403C"/>
          <w:sz w:val="19"/>
        </w:rPr>
        <w:t>"How Legacy Industries Can Adopt a Product Mindset to Improve Service Delivery."</w:t>
      </w:r>
    </w:p>
    <w:p>
      <w:pPr>
        <w:keepNext/>
        <w:spacing w:before="80" w:after="20"/>
      </w:pPr>
      <w:r>
        <w:rPr>
          <w:b/>
          <w:i w:val="0"/>
          <w:color w:val="1C1917"/>
          <w:sz w:val="19"/>
        </w:rPr>
        <w:t>Mentor — ProductBC</w:t>
      </w:r>
    </w:p>
    <w:p>
      <w:pPr>
        <w:spacing w:before="0" w:after="40"/>
      </w:pPr>
      <w:r>
        <w:rPr>
          <w:i w:val="0"/>
          <w:color w:val="44403C"/>
          <w:sz w:val="19"/>
        </w:rPr>
        <w:t>Mentor aspiring Product Managers in product discovery, strategy, and career development.</w:t>
      </w:r>
    </w:p>
    <w:p>
      <w:pPr>
        <w:spacing w:before="40" w:after="40"/>
        <w:pBdr>
          <w:bottom w:val="single" w:sz="6" w:space="1" w:color="6D28D9"/>
        </w:pBdr>
      </w:pPr>
    </w:p>
    <w:p>
      <w:pPr>
        <w:keepNext/>
        <w:spacing w:before="160" w:after="40"/>
      </w:pPr>
      <w:r>
        <w:rPr>
          <w:b/>
          <w:color w:val="6D28D9"/>
          <w:sz w:val="21"/>
        </w:rPr>
        <w:t>SKILLS</w:t>
      </w:r>
    </w:p>
    <w:p>
      <w:pPr>
        <w:spacing w:before="40" w:after="40"/>
      </w:pPr>
      <w:r>
        <w:rPr>
          <w:b/>
          <w:color w:val="5B21B6"/>
          <w:sz w:val="18"/>
        </w:rPr>
        <w:t xml:space="preserve">Product:  </w:t>
      </w:r>
      <w:r>
        <w:rPr>
          <w:color w:val="44403C"/>
          <w:sz w:val="18"/>
        </w:rPr>
        <w:t>Product Strategy  •  Roadmap Ownership  •  0-to-1 Products  •  Prioritization  •  Adoption &amp; Retention Metrics  •  Change Management  •  Executive Influence</w:t>
      </w:r>
    </w:p>
    <w:p>
      <w:pPr>
        <w:spacing w:before="40" w:after="40"/>
      </w:pPr>
      <w:r>
        <w:rPr>
          <w:b/>
          <w:color w:val="5B21B6"/>
          <w:sz w:val="18"/>
        </w:rPr>
        <w:t xml:space="preserve">Clinical Workflows:  </w:t>
      </w:r>
      <w:r>
        <w:rPr>
          <w:color w:val="44403C"/>
          <w:sz w:val="18"/>
        </w:rPr>
        <w:t>Clinical Documentation  •  Note Quality &amp; Completeness  •  Point-of-Care Workflows  •  EMR/EHR Integration  •  Provider Experience  •  Regulated Healthcare</w:t>
      </w:r>
    </w:p>
    <w:p>
      <w:pPr>
        <w:spacing w:before="40" w:after="40"/>
      </w:pPr>
      <w:r>
        <w:rPr>
          <w:b/>
          <w:color w:val="5B21B6"/>
          <w:sz w:val="18"/>
        </w:rPr>
        <w:t xml:space="preserve">AI / ML:  </w:t>
      </w:r>
      <w:r>
        <w:rPr>
          <w:color w:val="44403C"/>
          <w:sz w:val="18"/>
        </w:rPr>
        <w:t>LLM Applications  •  RAG  •  Multi-Agent Workflows  •  Document Summarization  •  Evidence Traceability  •  Human-in-the-Loop Design  •  Output Evaluation  •  NLP</w:t>
      </w:r>
    </w:p>
    <w:p>
      <w:pPr>
        <w:spacing w:before="40" w:after="40"/>
      </w:pPr>
      <w:r>
        <w:rPr>
          <w:b/>
          <w:color w:val="5B21B6"/>
          <w:sz w:val="18"/>
        </w:rPr>
        <w:t xml:space="preserve">Technical:  </w:t>
      </w:r>
      <w:r>
        <w:rPr>
          <w:color w:val="44403C"/>
          <w:sz w:val="18"/>
        </w:rPr>
        <w:t>REST APIs  •  EMR/EHR Integrations  •  Azure APIM  •  OAuth 2.0 / mTLS  •  JSON vs FHIR  •  SQL  •  Python  •  PostHog  •  Cursor  •  Lovable  •  n8n</w:t>
      </w:r>
    </w:p>
    <w:p>
      <w:pPr>
        <w:spacing w:before="40" w:after="40"/>
      </w:pPr>
      <w:r>
        <w:rPr>
          <w:b/>
          <w:color w:val="5B21B6"/>
          <w:sz w:val="18"/>
        </w:rPr>
        <w:t xml:space="preserve">Research:  </w:t>
      </w:r>
      <w:r>
        <w:rPr>
          <w:color w:val="44403C"/>
          <w:sz w:val="18"/>
        </w:rPr>
        <w:t>Physician Interviews  •  Contextual Observation  •  Usability Testing  •  Prototyping  •  Figma</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isplayBackgroundShap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khushdodani" TargetMode="External"/><Relationship Id="rId10" Type="http://schemas.openxmlformats.org/officeDocument/2006/relationships/hyperlink" Target="https://github.com/kdodani" TargetMode="External"/><Relationship Id="rId11" Type="http://schemas.openxmlformats.org/officeDocument/2006/relationships/hyperlink" Target="https://kdodani-portfolio.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