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0" w:line="240" w:lineRule="auto"/>
        <w:jc w:val="center"/>
      </w:pPr>
      <w:r>
        <w:rPr>
          <w:rFonts w:ascii="Calibri" w:hAnsi="Calibri" w:cs="Calibri"/>
          <w:b/>
          <w:color w:val="1C1917"/>
          <w:sz w:val="36"/>
        </w:rPr>
        <w:t>KHUSHBOO DODANI</w:t>
      </w:r>
    </w:p>
    <w:p>
      <w:pPr>
        <w:spacing w:before="0" w:after="0" w:line="240" w:lineRule="auto"/>
        <w:jc w:val="center"/>
      </w:pPr>
      <w:r>
        <w:rPr>
          <w:rFonts w:ascii="Calibri" w:hAnsi="Calibri" w:cs="Calibri"/>
          <w:color w:val="78716C"/>
          <w:sz w:val="18"/>
        </w:rPr>
        <w:t xml:space="preserve">Relocating to New York City  |  US work authorization  |  khushdodani@gmail.com  |  </w:t>
      </w:r>
      <w:hyperlink r:id="rId9">
        <w:r>
          <w:rPr>
            <w:rFonts w:ascii="Calibri" w:hAnsi="Calibri" w:cs="Calibri"/>
            <w:color w:val="78716C"/>
            <w:sz w:val="18"/>
            <w:szCs w:val="18"/>
            <w:u w:val="single"/>
          </w:rPr>
          <w:t xml:space="preserve">LinkedIn</w:t>
        </w:r>
      </w:hyperlink>
      <w:r>
        <w:rPr>
          <w:rFonts w:ascii="Calibri" w:hAnsi="Calibri" w:cs="Calibri"/>
          <w:color w:val="78716C"/>
          <w:sz w:val="18"/>
        </w:rPr>
        <w:t xml:space="preserve">  |  </w:t>
      </w:r>
      <w:hyperlink r:id="rId10">
        <w:r>
          <w:rPr>
            <w:rFonts w:ascii="Calibri" w:hAnsi="Calibri" w:cs="Calibri"/>
            <w:color w:val="78716C"/>
            <w:sz w:val="18"/>
            <w:szCs w:val="18"/>
            <w:u w:val="single"/>
          </w:rPr>
          <w:t xml:space="preserve">GitHub</w:t>
        </w:r>
      </w:hyperlink>
      <w:r>
        <w:rPr>
          <w:rFonts w:ascii="Calibri" w:hAnsi="Calibri" w:cs="Calibri"/>
          <w:color w:val="78716C"/>
          <w:sz w:val="18"/>
        </w:rPr>
        <w:t xml:space="preserve">  |  </w:t>
      </w:r>
      <w:hyperlink r:id="rId11">
        <w:r>
          <w:rPr>
            <w:rFonts w:ascii="Calibri" w:hAnsi="Calibri" w:cs="Calibri"/>
            <w:color w:val="78716C"/>
            <w:sz w:val="18"/>
            <w:szCs w:val="18"/>
            <w:u w:val="single"/>
          </w:rPr>
          <w:t xml:space="preserve">Portfolio</w:t>
        </w:r>
      </w:hyperlink>
    </w:p>
    <w:p>
      <w:pPr>
        <w:spacing w:before="20" w:after="0" w:line="240" w:lineRule="auto"/>
        <w:jc w:val="center"/>
      </w:pPr>
      <w:r>
        <w:rPr>
          <w:rFonts w:ascii="Calibri" w:hAnsi="Calibri" w:cs="Calibri"/>
          <w:b/>
          <w:color w:val="6D28D9"/>
          <w:sz w:val="23"/>
        </w:rPr>
        <w:t>PRODUCT MANAGER — AI AGENTS FOR HEALTHCARE BILLING</w:t>
      </w:r>
    </w:p>
    <w:p>
      <w:pPr>
        <w:spacing w:before="0" w:after="20" w:line="240" w:lineRule="auto"/>
        <w:jc w:val="center"/>
      </w:pPr>
      <w:r>
        <w:rPr>
          <w:rFonts w:ascii="Calibri" w:hAnsi="Calibri" w:cs="Calibri"/>
          <w:color w:val="5B21B6"/>
          <w:sz w:val="18"/>
        </w:rPr>
        <w:t>Claims &amp; Denial Prevention  ·  Payer–Provider Workflows  ·  Agents with Human Review  ·  0-to-1 and Scale</w:t>
      </w:r>
    </w:p>
    <w:p>
      <w:pPr>
        <w:spacing w:before="20" w:after="20" w:line="240" w:lineRule="auto"/>
        <w:pBdr>
          <w:bottom w:val="single" w:sz="6" w:space="1" w:color="6D28D9"/>
        </w:pBdr>
      </w:pPr>
    </w:p>
    <w:p>
      <w:pPr>
        <w:spacing w:before="40" w:after="40" w:line="240" w:lineRule="auto"/>
      </w:pPr>
      <w:r>
        <w:rPr>
          <w:rFonts w:ascii="Calibri" w:hAnsi="Calibri" w:cs="Calibri"/>
          <w:i w:val="0"/>
          <w:color w:val="44403C"/>
          <w:sz w:val="19"/>
        </w:rPr>
        <w:t>Product manager with 5 years in product, the last two and a half inside a workers’ compensation payer, on the side of the claim where denials start: the rules that reject a bad claim, the authorization decisions, and the faxes, paper, and provider calls that follow when a provider cannot see why. Owns a product surface from customer discovery to launch to the number it moves (error rate, paper share, cost, turnaround). Pulls own data in SQL and PostHog, prototypes in Cursor, Copilot, and Lovable, and sets the human-review boundary before an AI feature ships. Master of Business Analytics.</w:t>
      </w:r>
    </w:p>
    <w:p>
      <w:pPr>
        <w:spacing w:before="20" w:after="20" w:line="240" w:lineRule="auto"/>
        <w:pBdr>
          <w:bottom w:val="single" w:sz="6" w:space="1" w:color="6D28D9"/>
        </w:pBdr>
      </w:pPr>
    </w:p>
    <w:p>
      <w:pPr>
        <w:keepNext/>
        <w:spacing w:before="80" w:after="20" w:line="240" w:lineRule="auto"/>
      </w:pPr>
      <w:r>
        <w:rPr>
          <w:rFonts w:ascii="Calibri" w:hAnsi="Calibri" w:cs="Calibri"/>
          <w:b/>
          <w:color w:val="6D28D9"/>
          <w:sz w:val="21"/>
        </w:rPr>
        <w:t>EXPERIENCE</w:t>
      </w:r>
    </w:p>
    <w:p>
      <w:pPr>
        <w:keepNext/>
        <w:spacing w:before="80" w:after="0" w:line="240" w:lineRule="auto"/>
      </w:pPr>
      <w:r>
        <w:rPr>
          <w:rFonts w:ascii="Calibri" w:hAnsi="Calibri" w:cs="Calibri"/>
          <w:b/>
          <w:color w:val="1C1917"/>
          <w:sz w:val="21"/>
        </w:rPr>
        <w:t>Product Manager — Claims, Billing &amp; Provider Operations  |  WorkSafeBC</w:t>
      </w:r>
      <w:r>
        <w:rPr>
          <w:rFonts w:ascii="Calibri" w:hAnsi="Calibri" w:cs="Calibri"/>
          <w:color w:val="78716C"/>
          <w:sz w:val="18"/>
        </w:rPr>
        <w:t xml:space="preserve">    Apr 2024 – Present</w:t>
      </w:r>
    </w:p>
    <w:p>
      <w:pPr>
        <w:keepNext/>
        <w:spacing w:before="40" w:after="0" w:line="240" w:lineRule="auto"/>
      </w:pPr>
      <w:r>
        <w:rPr>
          <w:rFonts w:ascii="Calibri" w:hAnsi="Calibri" w:cs="Calibri"/>
          <w:b w:val="0"/>
          <w:i/>
          <w:color w:val="4F46E5"/>
          <w:sz w:val="18"/>
        </w:rPr>
        <w:t>Workers’ compensation payer  ·  coverage rules, treatment authorization, and provider billing across 3,795 organizations</w:t>
      </w:r>
    </w:p>
    <w:p>
      <w:pPr>
        <w:keepNext/>
        <w:spacing w:before="40" w:after="0" w:line="240" w:lineRule="auto"/>
      </w:pPr>
      <w:r>
        <w:rPr>
          <w:rFonts w:ascii="Calibri" w:hAnsi="Calibri" w:cs="Calibri"/>
          <w:b w:val="0"/>
          <w:i/>
          <w:color w:val="4F46E5"/>
          <w:sz w:val="18"/>
        </w:rPr>
        <w:t>Denial prevention and claims rules</w:t>
      </w:r>
    </w:p>
    <w:p>
      <w:pPr>
        <w:pStyle w:val="ListBullet"/>
        <w:spacing w:before="10" w:after="10" w:line="240" w:lineRule="auto"/>
        <w:ind w:left="461" w:hanging="202"/>
      </w:pPr>
      <w:r>
        <w:rPr>
          <w:rFonts w:ascii="Calibri" w:hAnsi="Calibri" w:cs="Calibri"/>
          <w:color w:val="44403C"/>
          <w:sz w:val="19"/>
        </w:rPr>
        <w:t>Encoded fee schedules, contracted rates, service codes, and contract eligibility in the product so invalid services, claims, and line items fail at submit, not in operations cleanup. The invoice API returns only the services an organization is contracted to bill. Invalid submissions −40%.</w:t>
      </w:r>
    </w:p>
    <w:p>
      <w:pPr>
        <w:pStyle w:val="ListBullet"/>
        <w:spacing w:before="10" w:after="10" w:line="240" w:lineRule="auto"/>
        <w:ind w:left="461" w:hanging="202"/>
      </w:pPr>
      <w:r>
        <w:rPr>
          <w:rFonts w:ascii="Calibri" w:hAnsi="Calibri" w:cs="Calibri"/>
          <w:color w:val="44403C"/>
          <w:sz w:val="19"/>
        </w:rPr>
        <w:t>Shipped field-level validation after bad inputs reached production, including a wrong payee number on a live request. Incomplete or inaccurate identifiers fail at submit with a specific reason, and operations receives only requests that have already cleared that check.</w:t>
      </w:r>
    </w:p>
    <w:p>
      <w:pPr>
        <w:pStyle w:val="ListBullet"/>
        <w:spacing w:before="10" w:after="10" w:line="240" w:lineRule="auto"/>
        <w:ind w:left="461" w:hanging="202"/>
      </w:pPr>
      <w:r>
        <w:rPr>
          <w:rFonts w:ascii="Calibri" w:hAnsi="Calibri" w:cs="Calibri"/>
          <w:color w:val="44403C"/>
          <w:sz w:val="19"/>
        </w:rPr>
        <w:t>Digitized continued-treatment authorization on an $80M physiotherapy program after analyzing 139K historical requests (79% always approved; 27% same-day). Providers were phoning and faxing because they could not see the decision or the reason. Shipped tracking, validation, and the decision rationale so status no longer needs a call. Rejected straight-through approval: it would have rubber-stamped spend.</w:t>
      </w:r>
    </w:p>
    <w:p>
      <w:pPr>
        <w:keepNext/>
        <w:spacing w:before="40" w:after="0" w:line="240" w:lineRule="auto"/>
      </w:pPr>
      <w:r>
        <w:rPr>
          <w:rFonts w:ascii="Calibri" w:hAnsi="Calibri" w:cs="Calibri"/>
          <w:b w:val="0"/>
          <w:i/>
          <w:color w:val="4F46E5"/>
          <w:sz w:val="18"/>
        </w:rPr>
        <w:t>Customer discovery, pilots, and channel strategy</w:t>
      </w:r>
    </w:p>
    <w:p>
      <w:pPr>
        <w:pStyle w:val="ListBullet"/>
        <w:spacing w:before="10" w:after="10" w:line="240" w:lineRule="auto"/>
        <w:ind w:left="461" w:hanging="202"/>
      </w:pPr>
      <w:r>
        <w:rPr>
          <w:rFonts w:ascii="Calibri" w:hAnsi="Calibri" w:cs="Calibri"/>
          <w:color w:val="44403C"/>
          <w:sz w:val="19"/>
        </w:rPr>
        <w:t>Analyzed 3.7M invoice line items in SQL. 25 of 3,795 organizations drove half of remaining paper (~280K lines) because the product capped them at one claim, 11 screens, and ~32 lines. Rebuilt to 5 screens, multi-claim, no line ceiling. Paper 56% → 19%. Portal 39% → 55%. ~$50K lower processing cost. $580K funded to scale it.</w:t>
      </w:r>
    </w:p>
    <w:p>
      <w:pPr>
        <w:pStyle w:val="ListBullet"/>
        <w:spacing w:before="10" w:after="10" w:line="240" w:lineRule="auto"/>
        <w:ind w:left="461" w:hanging="202"/>
      </w:pPr>
      <w:r>
        <w:rPr>
          <w:rFonts w:ascii="Calibri" w:hAnsi="Calibri" w:cs="Calibri"/>
          <w:color w:val="44403C"/>
          <w:sz w:val="19"/>
        </w:rPr>
        <w:t>Ran the rollout like a pilot: dark launch to 10 named providers, then soft and hard launch with Healthcare Operations, with existing volume left intact. Instrumented submit, error, and drop-off in PostHog on 322K digital lines a year. The first month showed the new path going unused; sat with those providers, found a control they could not see, and fixed discoverability before widening the rollout.</w:t>
      </w:r>
    </w:p>
    <w:p>
      <w:pPr>
        <w:pStyle w:val="ListBullet"/>
        <w:spacing w:before="10" w:after="10" w:line="240" w:lineRule="auto"/>
        <w:ind w:left="461" w:hanging="202"/>
      </w:pPr>
      <w:r>
        <w:rPr>
          <w:rFonts w:ascii="Calibri" w:hAnsi="Calibri" w:cs="Calibri"/>
          <w:color w:val="44403C"/>
          <w:sz w:val="19"/>
        </w:rPr>
        <w:t>Chose build or partner by where each provider’s data already lived: rebuilt the portal for clinics billing 200–1,900 lines a month, partnered on a Blueprint bulk feed for hearing-aid practices, and built a direct API into OSCAR EMR for physicians who will not leave the chart. $80K to prove it. Roadmap covering ~70% of the provider ecosystem across 50 EMR vendors and TELUS.</w:t>
      </w:r>
    </w:p>
    <w:p>
      <w:pPr>
        <w:pStyle w:val="ListBullet"/>
        <w:spacing w:before="10" w:after="10" w:line="240" w:lineRule="auto"/>
        <w:ind w:left="461" w:hanging="202"/>
      </w:pPr>
      <w:r>
        <w:rPr>
          <w:rFonts w:ascii="Calibri" w:hAnsi="Calibri" w:cs="Calibri"/>
          <w:color w:val="44403C"/>
          <w:sz w:val="19"/>
        </w:rPr>
        <w:t>The reports that decide a claim were 52,000 faxes a year, truncated by a 2001 billing spec, with physicians guessing codes. The EMR path carries the full clinical note because a reviewer cannot make an accurate call on a cut-off record, and neither can an agent.</w:t>
      </w:r>
    </w:p>
    <w:p>
      <w:pPr>
        <w:keepNext/>
        <w:spacing w:before="40" w:after="0" w:line="240" w:lineRule="auto"/>
      </w:pPr>
      <w:r>
        <w:rPr>
          <w:rFonts w:ascii="Calibri" w:hAnsi="Calibri" w:cs="Calibri"/>
          <w:b w:val="0"/>
          <w:i/>
          <w:color w:val="4F46E5"/>
          <w:sz w:val="18"/>
        </w:rPr>
        <w:t>AI, evals, and the human boundary</w:t>
      </w:r>
    </w:p>
    <w:p>
      <w:pPr>
        <w:pStyle w:val="ListBullet"/>
        <w:spacing w:before="10" w:after="10" w:line="240" w:lineRule="auto"/>
        <w:ind w:left="461" w:hanging="202"/>
      </w:pPr>
      <w:r>
        <w:rPr>
          <w:rFonts w:ascii="Calibri" w:hAnsi="Calibri" w:cs="Calibri"/>
          <w:color w:val="44403C"/>
          <w:sz w:val="19"/>
        </w:rPr>
        <w:t>Built Referral Radar in a two-week sprint: LLM retrieval over 20–75 claim documents per case to surface the program a patient qualified for, with an evidence trace back to the source. Set the bar as a trace a case manager can check, not an automation rate. Production records were blocked, so the test set was synthetic and checked with case managers. The person keeps the decision. 2nd of 36, InnoFest 2025.</w:t>
      </w:r>
    </w:p>
    <w:p>
      <w:pPr>
        <w:pStyle w:val="ListBullet"/>
        <w:spacing w:before="10" w:after="10" w:line="240" w:lineRule="auto"/>
        <w:ind w:left="461" w:hanging="202"/>
      </w:pPr>
      <w:r>
        <w:rPr>
          <w:rFonts w:ascii="Calibri" w:hAnsi="Calibri" w:cs="Calibri"/>
          <w:color w:val="44403C"/>
          <w:sz w:val="19"/>
        </w:rPr>
        <w:t>Prototypes in Cursor, GitHub Copilot, and Lovable to test an idea with providers and case managers before asking engineering to build it. Migrated 5,600 healthcare professionals across 500 organizations on a portal handling 62,000+ referrals a year: zero downtime, every active account moved on the deadline.</w:t>
      </w:r>
    </w:p>
    <w:p>
      <w:pPr>
        <w:keepNext/>
        <w:spacing w:before="80" w:after="0" w:line="240" w:lineRule="auto"/>
      </w:pPr>
      <w:r>
        <w:rPr>
          <w:rFonts w:ascii="Calibri" w:hAnsi="Calibri" w:cs="Calibri"/>
          <w:b/>
          <w:color w:val="1C1917"/>
          <w:sz w:val="21"/>
        </w:rPr>
        <w:t>Product Manager (promoted from Business Analyst)  |  Technical Safety BC</w:t>
      </w:r>
      <w:r>
        <w:rPr>
          <w:rFonts w:ascii="Calibri" w:hAnsi="Calibri" w:cs="Calibri"/>
          <w:color w:val="78716C"/>
          <w:sz w:val="18"/>
        </w:rPr>
        <w:t xml:space="preserve">    Oct 2021 – Apr 2024</w:t>
      </w:r>
    </w:p>
    <w:p>
      <w:pPr>
        <w:keepNext/>
        <w:spacing w:before="20" w:after="0" w:line="240" w:lineRule="auto"/>
      </w:pPr>
      <w:r>
        <w:rPr>
          <w:rFonts w:ascii="Calibri" w:hAnsi="Calibri" w:cs="Calibri"/>
          <w:b w:val="0"/>
          <w:i/>
          <w:color w:val="4F46E5"/>
          <w:sz w:val="18"/>
        </w:rPr>
        <w:t>Revenue recovery: collections outreach and reactivation</w:t>
      </w:r>
    </w:p>
    <w:p>
      <w:pPr>
        <w:pStyle w:val="ListBullet"/>
        <w:spacing w:before="10" w:after="10" w:line="240" w:lineRule="auto"/>
        <w:ind w:left="461" w:hanging="202"/>
      </w:pPr>
      <w:r>
        <w:rPr>
          <w:rFonts w:ascii="Calibri" w:hAnsi="Calibri" w:cs="Calibri"/>
          <w:color w:val="44403C"/>
          <w:sz w:val="19"/>
        </w:rPr>
        <w:t>Controlled test of RFM-targeted calls against the existing call strategy over the same two weeks, success defined before the calls went out: $45,742 collected versus $25,597 (78% more) on 62 calls versus 48. Recommendation was to scale the RFM treatment.</w:t>
      </w:r>
    </w:p>
    <w:p>
      <w:pPr>
        <w:pStyle w:val="ListBullet"/>
        <w:spacing w:before="10" w:after="10" w:line="240" w:lineRule="auto"/>
        <w:ind w:left="461" w:hanging="202"/>
      </w:pPr>
      <w:r>
        <w:rPr>
          <w:rFonts w:ascii="Calibri" w:hAnsi="Calibri" w:cs="Calibri"/>
          <w:color w:val="44403C"/>
          <w:sz w:val="19"/>
        </w:rPr>
        <w:t>Tested a three-step email sequence on expired permits: 135 clients, about CAD 46.7K recovered, 23% paid from the first email. 2022 permit volume finished 8% above budget.</w:t>
      </w:r>
    </w:p>
    <w:p>
      <w:pPr>
        <w:pStyle w:val="ListBullet"/>
        <w:spacing w:before="10" w:after="10" w:line="240" w:lineRule="auto"/>
        <w:ind w:left="461" w:hanging="202"/>
      </w:pPr>
      <w:r>
        <w:rPr>
          <w:rFonts w:ascii="Calibri" w:hAnsi="Calibri" w:cs="Calibri"/>
          <w:color w:val="44403C"/>
          <w:sz w:val="19"/>
        </w:rPr>
        <w:t>Built the churn and engagement dashboards the team ran from (11.7% annual churn across ~102K permits). Shipped NLP routing that took operations email triage off a human inbox. Led field discovery for a mobile inspections product through prototypes and usability tests.</w:t>
      </w:r>
    </w:p>
    <w:p>
      <w:pPr>
        <w:keepNext/>
        <w:spacing w:before="80" w:after="0" w:line="240" w:lineRule="auto"/>
      </w:pPr>
      <w:r>
        <w:rPr>
          <w:rFonts w:ascii="Calibri" w:hAnsi="Calibri" w:cs="Calibri"/>
          <w:b/>
          <w:color w:val="1C1917"/>
          <w:sz w:val="21"/>
        </w:rPr>
        <w:t>Strategy Consultant  |  180 Degrees Consulting — UBC</w:t>
      </w:r>
      <w:r>
        <w:rPr>
          <w:rFonts w:ascii="Calibri" w:hAnsi="Calibri" w:cs="Calibri"/>
          <w:color w:val="78716C"/>
          <w:sz w:val="18"/>
        </w:rPr>
        <w:t xml:space="preserve">    Sep 2020 – Oct 2021</w:t>
      </w:r>
    </w:p>
    <w:p>
      <w:pPr>
        <w:pStyle w:val="ListBullet"/>
        <w:spacing w:before="10" w:after="10" w:line="240" w:lineRule="auto"/>
        <w:ind w:left="461" w:hanging="202"/>
      </w:pPr>
      <w:r>
        <w:rPr>
          <w:rFonts w:ascii="Calibri" w:hAnsi="Calibri" w:cs="Calibri"/>
          <w:color w:val="44403C"/>
          <w:sz w:val="19"/>
        </w:rPr>
        <w:t>Customer research and market strategy for nonprofit and clean-energy clients. Acquisition work for Open Primaries cut bounce rate 37% and doubled subscriptions.</w:t>
      </w:r>
    </w:p>
    <w:p>
      <w:pPr>
        <w:keepNext/>
        <w:spacing w:before="80" w:after="0" w:line="240" w:lineRule="auto"/>
      </w:pPr>
      <w:r>
        <w:rPr>
          <w:rFonts w:ascii="Calibri" w:hAnsi="Calibri" w:cs="Calibri"/>
          <w:b/>
          <w:color w:val="1C1917"/>
          <w:sz w:val="21"/>
        </w:rPr>
        <w:t>SEO Consultant  |  Convertus</w:t>
      </w:r>
      <w:r>
        <w:rPr>
          <w:rFonts w:ascii="Calibri" w:hAnsi="Calibri" w:cs="Calibri"/>
          <w:color w:val="78716C"/>
          <w:sz w:val="18"/>
        </w:rPr>
        <w:t xml:space="preserve">    May 2018 – Jul 2019</w:t>
      </w:r>
    </w:p>
    <w:p>
      <w:pPr>
        <w:pStyle w:val="ListBullet"/>
        <w:spacing w:before="10" w:after="10" w:line="240" w:lineRule="auto"/>
        <w:ind w:left="461" w:hanging="202"/>
      </w:pPr>
      <w:r>
        <w:rPr>
          <w:rFonts w:ascii="Calibri" w:hAnsi="Calibri" w:cs="Calibri"/>
          <w:color w:val="44403C"/>
          <w:sz w:val="19"/>
        </w:rPr>
        <w:t>Analytics-led growth for 75+ client sites (~150% organic performance) and a forecast that predicted results at ~85% accuracy.</w:t>
      </w:r>
    </w:p>
    <w:p>
      <w:pPr>
        <w:spacing w:before="20" w:after="20" w:line="240" w:lineRule="auto"/>
        <w:pBdr>
          <w:bottom w:val="single" w:sz="6" w:space="1" w:color="6D28D9"/>
        </w:pBdr>
      </w:pPr>
    </w:p>
    <w:p>
      <w:pPr>
        <w:keepNext/>
        <w:spacing w:before="80" w:after="20" w:line="240" w:lineRule="auto"/>
      </w:pPr>
      <w:r>
        <w:rPr>
          <w:rFonts w:ascii="Calibri" w:hAnsi="Calibri" w:cs="Calibri"/>
          <w:b/>
          <w:color w:val="6D28D9"/>
          <w:sz w:val="21"/>
        </w:rPr>
        <w:t>EDUCATION</w:t>
      </w:r>
    </w:p>
    <w:p>
      <w:pPr>
        <w:keepNext/>
        <w:spacing w:before="80" w:after="0" w:line="240" w:lineRule="auto"/>
      </w:pPr>
      <w:r>
        <w:rPr>
          <w:rFonts w:ascii="Calibri" w:hAnsi="Calibri" w:cs="Calibri"/>
          <w:b/>
          <w:color w:val="1C1917"/>
          <w:sz w:val="21"/>
        </w:rPr>
        <w:t>Master of Business Analytics  |  University of British Columbia</w:t>
      </w:r>
      <w:r>
        <w:rPr>
          <w:rFonts w:ascii="Calibri" w:hAnsi="Calibri" w:cs="Calibri"/>
          <w:color w:val="78716C"/>
          <w:sz w:val="18"/>
        </w:rPr>
        <w:t xml:space="preserve">    </w:t>
      </w:r>
    </w:p>
    <w:p>
      <w:pPr>
        <w:spacing w:before="0" w:after="0" w:line="240" w:lineRule="auto"/>
      </w:pPr>
      <w:r>
        <w:rPr>
          <w:rFonts w:ascii="Calibri" w:hAnsi="Calibri" w:cs="Calibri"/>
          <w:i w:val="0"/>
          <w:color w:val="78716C"/>
          <w:sz w:val="18"/>
        </w:rPr>
        <w:t>Python  ·  SQL  ·  Machine learning  ·  Optimization  ·  Product analytics</w:t>
      </w:r>
    </w:p>
    <w:p>
      <w:pPr>
        <w:keepNext/>
        <w:spacing w:before="80" w:after="0" w:line="240" w:lineRule="auto"/>
      </w:pPr>
      <w:r>
        <w:rPr>
          <w:rFonts w:ascii="Calibri" w:hAnsi="Calibri" w:cs="Calibri"/>
          <w:b/>
          <w:color w:val="1C1917"/>
          <w:sz w:val="21"/>
        </w:rPr>
        <w:t>Bachelor of Business Administration (Marketing)  |  British Columbia Institute of Technology</w:t>
      </w:r>
      <w:r>
        <w:rPr>
          <w:rFonts w:ascii="Calibri" w:hAnsi="Calibri" w:cs="Calibri"/>
          <w:color w:val="78716C"/>
          <w:sz w:val="18"/>
        </w:rPr>
        <w:t xml:space="preserve">    </w:t>
      </w:r>
    </w:p>
    <w:p>
      <w:pPr>
        <w:spacing w:before="20" w:after="20" w:line="240" w:lineRule="auto"/>
        <w:pBdr>
          <w:bottom w:val="single" w:sz="6" w:space="1" w:color="6D28D9"/>
        </w:pBdr>
      </w:pPr>
    </w:p>
    <w:p>
      <w:pPr>
        <w:keepNext/>
        <w:spacing w:before="80" w:after="20" w:line="240" w:lineRule="auto"/>
      </w:pPr>
      <w:r>
        <w:rPr>
          <w:rFonts w:ascii="Calibri" w:hAnsi="Calibri" w:cs="Calibri"/>
          <w:b/>
          <w:color w:val="6D28D9"/>
          <w:sz w:val="21"/>
        </w:rPr>
        <w:t>LEADERSHIP</w:t>
      </w:r>
    </w:p>
    <w:p>
      <w:pPr>
        <w:pStyle w:val="ListBullet"/>
        <w:spacing w:before="10" w:after="10" w:line="240" w:lineRule="auto"/>
        <w:ind w:left="461" w:hanging="202"/>
      </w:pPr>
      <w:r>
        <w:rPr>
          <w:rFonts w:ascii="Calibri" w:hAnsi="Calibri" w:cs="Calibri"/>
          <w:color w:val="44403C"/>
          <w:sz w:val="19"/>
        </w:rPr>
        <w:t>Speaker, ProductCamp BC (2025) — “How Legacy Industries Can Adopt a Product Mindset to Improve Service Delivery.” Mentor, ProductBC — discovery, strategy, and career development for aspiring product managers.</w:t>
      </w:r>
    </w:p>
    <w:p>
      <w:pPr>
        <w:spacing w:before="20" w:after="20" w:line="240" w:lineRule="auto"/>
        <w:pBdr>
          <w:bottom w:val="single" w:sz="6" w:space="1" w:color="6D28D9"/>
        </w:pBdr>
      </w:pPr>
    </w:p>
    <w:p>
      <w:pPr>
        <w:keepNext/>
        <w:spacing w:before="80" w:after="20" w:line="240" w:lineRule="auto"/>
      </w:pPr>
      <w:r>
        <w:rPr>
          <w:rFonts w:ascii="Calibri" w:hAnsi="Calibri" w:cs="Calibri"/>
          <w:b/>
          <w:color w:val="6D28D9"/>
          <w:sz w:val="21"/>
        </w:rPr>
        <w:t>SKILLS</w:t>
      </w:r>
    </w:p>
    <w:p>
      <w:pPr>
        <w:spacing w:before="20" w:after="0" w:line="240" w:lineRule="auto"/>
      </w:pPr>
      <w:r>
        <w:rPr>
          <w:rFonts w:ascii="Calibri" w:hAnsi="Calibri" w:cs="Calibri"/>
          <w:b/>
          <w:color w:val="5B21B6"/>
          <w:sz w:val="18"/>
        </w:rPr>
        <w:t xml:space="preserve">Product:  </w:t>
      </w:r>
      <w:r>
        <w:rPr>
          <w:rFonts w:ascii="Calibri" w:hAnsi="Calibri" w:cs="Calibri"/>
          <w:color w:val="44403C"/>
          <w:sz w:val="18"/>
        </w:rPr>
        <w:t>Product strategy and roadmaps  ·  Customer discovery  ·  Pilots and go-lives  ·  Specs and acceptance criteria  ·  0-to-1 and scale</w:t>
      </w:r>
    </w:p>
    <w:p>
      <w:pPr>
        <w:spacing w:before="20" w:after="0" w:line="240" w:lineRule="auto"/>
      </w:pPr>
      <w:r>
        <w:rPr>
          <w:rFonts w:ascii="Calibri" w:hAnsi="Calibri" w:cs="Calibri"/>
          <w:b/>
          <w:color w:val="5B21B6"/>
          <w:sz w:val="18"/>
        </w:rPr>
        <w:t xml:space="preserve">Healthcare billing:  </w:t>
      </w:r>
      <w:r>
        <w:rPr>
          <w:rFonts w:ascii="Calibri" w:hAnsi="Calibri" w:cs="Calibri"/>
          <w:color w:val="44403C"/>
          <w:sz w:val="18"/>
        </w:rPr>
        <w:t>Claims rules  ·  Fee schedules and codes  ·  Eligibility  ·  Authorization  ·  Denial prevention  ·  Portal, fax, API, and EMR intake  ·  Collections</w:t>
      </w:r>
    </w:p>
    <w:p>
      <w:pPr>
        <w:spacing w:before="20" w:after="0" w:line="240" w:lineRule="auto"/>
      </w:pPr>
      <w:r>
        <w:rPr>
          <w:rFonts w:ascii="Calibri" w:hAnsi="Calibri" w:cs="Calibri"/>
          <w:b/>
          <w:color w:val="5B21B6"/>
          <w:sz w:val="18"/>
        </w:rPr>
        <w:t xml:space="preserve">Data and AI:  </w:t>
      </w:r>
      <w:r>
        <w:rPr>
          <w:rFonts w:ascii="Calibri" w:hAnsi="Calibri" w:cs="Calibri"/>
          <w:color w:val="44403C"/>
          <w:sz w:val="18"/>
        </w:rPr>
        <w:t>SQL  ·  Python  ·  PostHog  ·  Dashboards  ·  LLM retrieval with evidence traces  ·  Eval design  ·  Human-in-the-loop  ·  Cursor, Copilot, Lovable</w:t>
      </w:r>
    </w:p>
    <w:sectPr w:rsidR="00FC693F" w:rsidRPr="0006063C" w:rsidSect="00034616">
      <w:pgSz w:w="12240" w:h="15840"/>
      <w:pgMar w:top="720" w:right="964" w:bottom="65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color w:val="444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github.com/kdodani" TargetMode="External"/><Relationship Id="rId11"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