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9F6"/>
  <w:body>
    <w:p>
      <w:pPr>
        <w:spacing w:before="0" w:after="0" w:line="240" w:lineRule="auto"/>
        <w:jc w:val="center"/>
      </w:pPr>
      <w:r>
        <w:rPr>
          <w:rFonts w:ascii="Calibri" w:hAnsi="Calibri" w:cs="Calibri"/>
          <w:b/>
          <w:i w:val="0"/>
          <w:color w:val="1C1917"/>
          <w:sz w:val="36"/>
        </w:rPr>
        <w:t>KHUSHBOO DODANI</w:t>
      </w:r>
    </w:p>
    <w:p>
      <w:pPr>
        <w:spacing w:before="20" w:after="0" w:line="240" w:lineRule="auto"/>
        <w:jc w:val="center"/>
      </w:pPr>
      <w:r>
        <w:rPr>
          <w:rFonts w:ascii="Calibri" w:hAnsi="Calibri" w:cs="Calibri"/>
          <w:b w:val="0"/>
          <w:i w:val="0"/>
          <w:color w:val="78716C"/>
          <w:sz w:val="18"/>
        </w:rPr>
        <w:t xml:space="preserve">San Francisco Bay Area  |  khushdodani@gmail.com  |  </w:t>
      </w:r>
      <w:hyperlink r:id="rId9">
        <w:r>
          <w:rPr>
            <w:rFonts w:ascii="Calibri" w:hAnsi="Calibri" w:cs="Calibri"/>
            <w:color w:val="78716C"/>
            <w:sz w:val="18"/>
            <w:szCs w:val="18"/>
            <w:u w:val="single"/>
          </w:rPr>
          <w:t xml:space="preserve">LinkedIn</w:t>
        </w:r>
      </w:hyperlink>
      <w:r>
        <w:rPr>
          <w:rFonts w:ascii="Calibri" w:hAnsi="Calibri" w:cs="Calibri"/>
          <w:b w:val="0"/>
          <w:i w:val="0"/>
          <w:color w:val="78716C"/>
          <w:sz w:val="18"/>
        </w:rPr>
        <w:t xml:space="preserve">  |  </w:t>
      </w:r>
      <w:hyperlink r:id="rId10">
        <w:r>
          <w:rPr>
            <w:rFonts w:ascii="Calibri" w:hAnsi="Calibri" w:cs="Calibri"/>
            <w:color w:val="78716C"/>
            <w:sz w:val="18"/>
            <w:szCs w:val="18"/>
            <w:u w:val="single"/>
          </w:rPr>
          <w:t xml:space="preserve">GitHub</w:t>
        </w:r>
      </w:hyperlink>
      <w:r>
        <w:rPr>
          <w:rFonts w:ascii="Calibri" w:hAnsi="Calibri" w:cs="Calibri"/>
          <w:b w:val="0"/>
          <w:i w:val="0"/>
          <w:color w:val="78716C"/>
          <w:sz w:val="18"/>
        </w:rPr>
        <w:t xml:space="preserve">  |  </w:t>
      </w:r>
      <w:hyperlink r:id="rId11">
        <w:r>
          <w:rPr>
            <w:rFonts w:ascii="Calibri" w:hAnsi="Calibri" w:cs="Calibri"/>
            <w:color w:val="78716C"/>
            <w:sz w:val="18"/>
            <w:szCs w:val="18"/>
            <w:u w:val="single"/>
          </w:rPr>
          <w:t xml:space="preserve">Portfolio</w:t>
        </w:r>
      </w:hyperlink>
    </w:p>
    <w:p>
      <w:pPr>
        <w:spacing w:before="20" w:after="0" w:line="240" w:lineRule="auto"/>
        <w:jc w:val="center"/>
      </w:pPr>
      <w:r>
        <w:rPr>
          <w:rFonts w:ascii="Calibri" w:hAnsi="Calibri" w:cs="Calibri"/>
          <w:b/>
          <w:i w:val="0"/>
          <w:color w:val="6D28D9"/>
          <w:sz w:val="24"/>
        </w:rPr>
        <w:t>SENIOR PRODUCT MANAGER — CLINICIAN &amp; OPERATIONS WORKFLOWS</w:t>
      </w:r>
    </w:p>
    <w:p>
      <w:pPr>
        <w:spacing w:before="0" w:after="20" w:line="240" w:lineRule="auto"/>
        <w:jc w:val="center"/>
      </w:pPr>
      <w:r>
        <w:rPr>
          <w:rFonts w:ascii="Calibri" w:hAnsi="Calibri" w:cs="Calibri"/>
          <w:b w:val="0"/>
          <w:i w:val="0"/>
          <w:color w:val="5B21B6"/>
          <w:sz w:val="18"/>
        </w:rPr>
        <w:t>Frontline User Workflows  •  Data-Driven Prioritization  •  0-to-1 AI Prototyping  •  Integrations &amp; APIs</w:t>
      </w:r>
    </w:p>
    <w:p>
      <w:pPr>
        <w:keepNext w:val="0"/>
        <w:spacing w:before="20" w:after="20" w:line="240" w:lineRule="auto"/>
        <w:pBdr>
          <w:bottom w:val="single" w:sz="6" w:space="1" w:color="6D28D9"/>
        </w:pBdr>
      </w:pPr>
    </w:p>
    <w:p>
      <w:pPr>
        <w:keepNext w:val="0"/>
        <w:spacing w:before="40" w:after="40" w:line="240" w:lineRule="auto"/>
      </w:pPr>
      <w:r>
        <w:rPr>
          <w:rFonts w:ascii="Calibri" w:hAnsi="Calibri" w:cs="Calibri"/>
          <w:b w:val="0"/>
          <w:i w:val="0"/>
          <w:color w:val="44403C"/>
          <w:sz w:val="19"/>
        </w:rPr>
        <w:t>Senior Product Manager with 5+ years building workflow software for frontline operators and clinicians in regulated healthcare. Owns the provider-facing portal where 3,795 provider organizations submit referrals, treatment-extension requests, and invoices to a payer. Finds the friction through direct user research and workflow data, holds the experience bar through launch, then measures it: paper 56% to 19%, digital share 39% to 55%, support calls down 30%, clinician NPS +25, $580K funded. Earlier, led field-inspector discovery for a mobile platform, including ride-alongs. Moves fast with limited resources: an $80K-funded EMR API proof of concept, daily AI prototyping with Cursor and Lovable, and an LLM matching prototype that placed 2nd of 36. Works hands-on with engineers on scope, architecture trade-offs, and acceptance criteria. Master of Business Analytics.</w:t>
      </w:r>
    </w:p>
    <w:p>
      <w:pPr>
        <w:keepNext w:val="0"/>
        <w:spacing w:before="20" w:after="20" w:line="240" w:lineRule="auto"/>
        <w:pBdr>
          <w:bottom w:val="single" w:sz="6" w:space="1" w:color="6D28D9"/>
        </w:pBdr>
      </w:pPr>
    </w:p>
    <w:p>
      <w:pPr>
        <w:keepNext/>
        <w:spacing w:before="80" w:after="20" w:line="240" w:lineRule="auto"/>
      </w:pPr>
      <w:r>
        <w:rPr>
          <w:rFonts w:ascii="Calibri" w:hAnsi="Calibri" w:cs="Calibri"/>
          <w:b/>
          <w:i w:val="0"/>
          <w:color w:val="6D28D9"/>
          <w:sz w:val="21"/>
        </w:rPr>
        <w:t>EXPERIENCE</w:t>
      </w:r>
    </w:p>
    <w:p>
      <w:pPr>
        <w:keepNext/>
        <w:spacing w:before="60" w:after="0" w:line="240" w:lineRule="auto"/>
      </w:pPr>
      <w:r>
        <w:rPr>
          <w:rFonts w:ascii="Calibri" w:hAnsi="Calibri" w:cs="Calibri"/>
          <w:b/>
          <w:i w:val="0"/>
          <w:color w:val="1C1917"/>
          <w:sz w:val="21"/>
        </w:rPr>
        <w:t>Product Manager — Provider Experience, Clinical Workflows &amp; Integrations  |  WorkSafeBC</w:t>
      </w:r>
      <w:r>
        <w:rPr>
          <w:rFonts w:ascii="Calibri" w:hAnsi="Calibri" w:cs="Calibri"/>
          <w:b w:val="0"/>
          <w:i w:val="0"/>
          <w:color w:val="78716C"/>
          <w:sz w:val="18"/>
        </w:rPr>
        <w:t xml:space="preserve">    Apr 2024 – Present</w:t>
      </w:r>
    </w:p>
    <w:p>
      <w:pPr>
        <w:keepNext/>
        <w:spacing w:before="40" w:after="0" w:line="240" w:lineRule="auto"/>
      </w:pPr>
      <w:r>
        <w:rPr>
          <w:rFonts w:ascii="Calibri" w:hAnsi="Calibri" w:cs="Calibri"/>
          <w:b w:val="0"/>
          <w:i/>
          <w:color w:val="4F46E5"/>
          <w:sz w:val="18"/>
        </w:rPr>
        <w:t>Workflow redesign for high-volume users  ·  diagnose with data, hold the UX bar, measure adoption</w:t>
      </w:r>
    </w:p>
    <w:p>
      <w:pPr>
        <w:pStyle w:val="ListBullet"/>
        <w:spacing w:before="0" w:after="0" w:line="240" w:lineRule="auto"/>
        <w:ind w:left="504" w:hanging="216"/>
      </w:pPr>
      <w:r>
        <w:rPr>
          <w:rFonts w:ascii="Calibri" w:hAnsi="Calibri" w:cs="Calibri"/>
          <w:b w:val="0"/>
          <w:i w:val="0"/>
          <w:color w:val="44403C"/>
          <w:sz w:val="19"/>
        </w:rPr>
        <w:t>Owned invoice submission for 3,795 provider organizations. Analyzed 3.7M line items: 25 organizations drove half of remaining paper. Rebuilt an 11-screen, 32-line-cap flow into 5 screens with no cap, unlocking ~280K blocked lines. Paper 56% to 19%, portal 39% to 55%, support calls down 30%, NPS +25, $580K funded.</w:t>
      </w:r>
    </w:p>
    <w:p>
      <w:pPr>
        <w:pStyle w:val="ListBullet"/>
        <w:spacing w:before="0" w:after="0" w:line="240" w:lineRule="auto"/>
        <w:ind w:left="504" w:hanging="216"/>
      </w:pPr>
      <w:r>
        <w:rPr>
          <w:rFonts w:ascii="Calibri" w:hAnsi="Calibri" w:cs="Calibri"/>
          <w:b w:val="0"/>
          <w:i w:val="0"/>
          <w:color w:val="44403C"/>
          <w:sz w:val="19"/>
        </w:rPr>
        <w:t>Shipped in-product validation against fee schedules, rates, and service codes so errors surface at submit, not after rejection: invalid submissions down 40%. Ran focus groups with physiotherapists and clinic admins; caught that surveys were answered by clinicians while admins use the tool, and corrected before prioritizing.</w:t>
      </w:r>
    </w:p>
    <w:p>
      <w:pPr>
        <w:pStyle w:val="ListBullet"/>
        <w:spacing w:before="0" w:after="0" w:line="240" w:lineRule="auto"/>
        <w:ind w:left="504" w:hanging="216"/>
      </w:pPr>
      <w:r>
        <w:rPr>
          <w:rFonts w:ascii="Calibri" w:hAnsi="Calibri" w:cs="Calibri"/>
          <w:b w:val="0"/>
          <w:i w:val="0"/>
          <w:color w:val="44403C"/>
          <w:sz w:val="19"/>
        </w:rPr>
        <w:t>Staged a named-cohort dark launch to 10 providers, then soft and hard launch, with the old flow live throughout. Wrote the PostHog spec first so drop-off was visible within days. When first-month adoption was near zero, funnel data showed users missed a key control; moved the next bet from new features to onboarding.</w:t>
      </w:r>
    </w:p>
    <w:p>
      <w:pPr>
        <w:pStyle w:val="ListBullet"/>
        <w:spacing w:before="0" w:after="0" w:line="240" w:lineRule="auto"/>
        <w:ind w:left="504" w:hanging="216"/>
      </w:pPr>
      <w:r>
        <w:rPr>
          <w:rFonts w:ascii="Calibri" w:hAnsi="Calibri" w:cs="Calibri"/>
          <w:b w:val="0"/>
          <w:i w:val="0"/>
          <w:color w:val="44403C"/>
          <w:sz w:val="19"/>
        </w:rPr>
        <w:t>Owned digital treatment-extension requests on an $80M program. Analyzed 139K requests (79% approved, 27% same day). Rejected a push to auto-approve; shipped structured rationale, request tracking, and error validation so providers see decisions without calling. $300K approved.</w:t>
      </w:r>
    </w:p>
    <w:p>
      <w:pPr>
        <w:keepNext/>
        <w:spacing w:before="40" w:after="0" w:line="240" w:lineRule="auto"/>
      </w:pPr>
      <w:r>
        <w:rPr>
          <w:rFonts w:ascii="Calibri" w:hAnsi="Calibri" w:cs="Calibri"/>
          <w:b w:val="0"/>
          <w:i/>
          <w:color w:val="4F46E5"/>
          <w:sz w:val="18"/>
        </w:rPr>
        <w:t>Integrations and external APIs  ·  0-to-1, limited resources</w:t>
      </w:r>
    </w:p>
    <w:p>
      <w:pPr>
        <w:pStyle w:val="ListBullet"/>
        <w:spacing w:before="0" w:after="0" w:line="240" w:lineRule="auto"/>
        <w:ind w:left="504" w:hanging="216"/>
      </w:pPr>
      <w:r>
        <w:rPr>
          <w:rFonts w:ascii="Calibri" w:hAnsi="Calibri" w:cs="Calibri"/>
          <w:b w:val="0"/>
          <w:i w:val="0"/>
          <w:color w:val="44403C"/>
          <w:sz w:val="19"/>
        </w:rPr>
        <w:t>Led OSCAR EMR submission from zero after 15 physician interviews showed clinicians would not leave their chart for a side portal. POC validated Mar 2025 on $80K; roadmap covers ~70% of the provider ecosystem. Engaged 50 EMR vendors; four signaled willingness to integrate.</w:t>
      </w:r>
    </w:p>
    <w:p>
      <w:pPr>
        <w:pStyle w:val="ListBullet"/>
        <w:spacing w:before="0" w:after="0" w:line="240" w:lineRule="auto"/>
        <w:ind w:left="504" w:hanging="216"/>
      </w:pPr>
      <w:r>
        <w:rPr>
          <w:rFonts w:ascii="Calibri" w:hAnsi="Calibri" w:cs="Calibri"/>
          <w:b w:val="0"/>
          <w:i w:val="0"/>
          <w:color w:val="44403C"/>
          <w:sz w:val="19"/>
        </w:rPr>
        <w:t>Worked through architecture trade-offs with engineering: JSON for POC speed with HL7 FHIR as the upgrade path, Azure API Management as a reusable gateway instead of point-to-point builds, OAuth 2.0 and mTLS. Wrote sprint-ready specs with acceptance criteria across multiple dev pods in Azure DevOps.</w:t>
      </w:r>
    </w:p>
    <w:p>
      <w:pPr>
        <w:keepNext/>
        <w:spacing w:before="40" w:after="0" w:line="240" w:lineRule="auto"/>
      </w:pPr>
      <w:r>
        <w:rPr>
          <w:rFonts w:ascii="Calibri" w:hAnsi="Calibri" w:cs="Calibri"/>
          <w:b w:val="0"/>
          <w:i/>
          <w:color w:val="4F46E5"/>
          <w:sz w:val="18"/>
        </w:rPr>
        <w:t>AI prototyping  ·  matching and routing, with the human keeping the decision</w:t>
      </w:r>
    </w:p>
    <w:p>
      <w:pPr>
        <w:pStyle w:val="ListBullet"/>
        <w:spacing w:before="0" w:after="0" w:line="240" w:lineRule="auto"/>
        <w:ind w:left="504" w:hanging="216"/>
      </w:pPr>
      <w:r>
        <w:rPr>
          <w:rFonts w:ascii="Calibri" w:hAnsi="Calibri" w:cs="Calibri"/>
          <w:b w:val="0"/>
          <w:i w:val="0"/>
          <w:color w:val="44403C"/>
          <w:sz w:val="19"/>
        </w:rPr>
        <w:t>Led Referral Radar, a 0-to-1 LLM agent prototype that matches claims to the right healthcare program from 20-75 unstructured documents and routes the task, with the human keeping the decision (2nd of 36, InnoFest 2025). Prototype daily with Cursor and Lovable so engineers and users react to a working flow before build.</w:t>
      </w:r>
    </w:p>
    <w:p>
      <w:pPr>
        <w:keepNext/>
        <w:spacing w:before="40" w:after="0" w:line="240" w:lineRule="auto"/>
      </w:pPr>
      <w:r>
        <w:rPr>
          <w:rFonts w:ascii="Calibri" w:hAnsi="Calibri" w:cs="Calibri"/>
          <w:b w:val="0"/>
          <w:i/>
          <w:color w:val="4F46E5"/>
          <w:sz w:val="18"/>
        </w:rPr>
        <w:t>Change management at scale</w:t>
      </w:r>
    </w:p>
    <w:p>
      <w:pPr>
        <w:pStyle w:val="ListBullet"/>
        <w:spacing w:before="0" w:after="0" w:line="240" w:lineRule="auto"/>
        <w:ind w:left="504" w:hanging="216"/>
      </w:pPr>
      <w:r>
        <w:rPr>
          <w:rFonts w:ascii="Calibri" w:hAnsi="Calibri" w:cs="Calibri"/>
          <w:b w:val="0"/>
          <w:i w:val="0"/>
          <w:color w:val="44403C"/>
          <w:sz w:val="19"/>
        </w:rPr>
        <w:t>Migrated 5,600 healthcare professionals across 500 organizations to a new identity platform on a portal with 62K+ annual referrals: zero downtime, 100% of active accounts transitioned. Coordinated Engineering, Operations, Communications, and two vendors.</w:t>
      </w:r>
    </w:p>
    <w:p>
      <w:pPr>
        <w:keepNext/>
        <w:spacing w:before="60" w:after="0" w:line="240" w:lineRule="auto"/>
      </w:pPr>
      <w:r>
        <w:rPr>
          <w:rFonts w:ascii="Calibri" w:hAnsi="Calibri" w:cs="Calibri"/>
          <w:b/>
          <w:i w:val="0"/>
          <w:color w:val="1C1917"/>
          <w:sz w:val="21"/>
        </w:rPr>
        <w:t>Product Manager (promoted from Business Analyst)  |  Technical Safety BC</w:t>
      </w:r>
      <w:r>
        <w:rPr>
          <w:rFonts w:ascii="Calibri" w:hAnsi="Calibri" w:cs="Calibri"/>
          <w:b w:val="0"/>
          <w:i w:val="0"/>
          <w:color w:val="78716C"/>
          <w:sz w:val="18"/>
        </w:rPr>
        <w:t xml:space="preserve">    Oct 2021 – Apr 2024</w:t>
      </w:r>
    </w:p>
    <w:p>
      <w:pPr>
        <w:pStyle w:val="ListBullet"/>
        <w:spacing w:before="0" w:after="0" w:line="240" w:lineRule="auto"/>
        <w:ind w:left="504" w:hanging="216"/>
      </w:pPr>
      <w:r>
        <w:rPr>
          <w:rFonts w:ascii="Calibri" w:hAnsi="Calibri" w:cs="Calibri"/>
          <w:b w:val="0"/>
          <w:i w:val="0"/>
          <w:color w:val="44403C"/>
          <w:sz w:val="19"/>
        </w:rPr>
        <w:t>Led discovery for a mobile remote-inspections platform with field inspectors: ride-alongs, contextual research, workflow mapping, usability tests, and prototypes. Used the evidence to decide whether to fund the build and to translate field pain points into requirements and roadmap priorities.</w:t>
      </w:r>
    </w:p>
    <w:p>
      <w:pPr>
        <w:pStyle w:val="ListBullet"/>
        <w:spacing w:before="0" w:after="0" w:line="240" w:lineRule="auto"/>
        <w:ind w:left="504" w:hanging="216"/>
      </w:pPr>
      <w:r>
        <w:rPr>
          <w:rFonts w:ascii="Calibri" w:hAnsi="Calibri" w:cs="Calibri"/>
          <w:b w:val="0"/>
          <w:i w:val="0"/>
          <w:color w:val="44403C"/>
          <w:sz w:val="19"/>
        </w:rPr>
        <w:t>Shipped NLP email classification into a live routing workflow, removing manual inbox triage. Built churn and engagement analytics: 11.7% annual churn; RFM campaigns retained 78% of high-risk customers.</w:t>
      </w:r>
    </w:p>
    <w:p>
      <w:pPr>
        <w:keepNext w:val="0"/>
        <w:spacing w:before="60" w:after="20" w:line="240" w:lineRule="auto"/>
      </w:pPr>
      <w:r>
        <w:rPr>
          <w:rFonts w:ascii="Calibri" w:hAnsi="Calibri" w:cs="Calibri"/>
          <w:b w:val="0"/>
          <w:i w:val="0"/>
          <w:color w:val="78716C"/>
          <w:sz w:val="18"/>
        </w:rPr>
        <w:t>Earlier: Strategy Consultant, 180 Degrees Consulting (acquisition strategy, bounce rate down 37%, subscriptions doubled)  •  SEO Consultant, Convertus (75+ client sites, organic performance up ~150%)</w:t>
      </w:r>
    </w:p>
    <w:p>
      <w:pPr>
        <w:keepNext w:val="0"/>
        <w:spacing w:before="20" w:after="20" w:line="240" w:lineRule="auto"/>
        <w:pBdr>
          <w:bottom w:val="single" w:sz="6" w:space="1" w:color="6D28D9"/>
        </w:pBdr>
      </w:pPr>
    </w:p>
    <w:p>
      <w:pPr>
        <w:keepNext/>
        <w:spacing w:before="80" w:after="20" w:line="240" w:lineRule="auto"/>
      </w:pPr>
      <w:r>
        <w:rPr>
          <w:rFonts w:ascii="Calibri" w:hAnsi="Calibri" w:cs="Calibri"/>
          <w:b/>
          <w:i w:val="0"/>
          <w:color w:val="6D28D9"/>
          <w:sz w:val="21"/>
        </w:rPr>
        <w:t>EDUCATION</w:t>
      </w:r>
    </w:p>
    <w:p>
      <w:pPr>
        <w:keepNext/>
        <w:spacing w:before="60" w:after="0" w:line="240" w:lineRule="auto"/>
      </w:pPr>
      <w:r>
        <w:rPr>
          <w:rFonts w:ascii="Calibri" w:hAnsi="Calibri" w:cs="Calibri"/>
          <w:b/>
          <w:i w:val="0"/>
          <w:color w:val="1C1917"/>
          <w:sz w:val="21"/>
        </w:rPr>
        <w:t>Master of Business Analytics  |  University of British Columbia</w:t>
      </w:r>
      <w:r>
        <w:rPr>
          <w:rFonts w:ascii="Calibri" w:hAnsi="Calibri" w:cs="Calibri"/>
          <w:b w:val="0"/>
          <w:i w:val="0"/>
          <w:color w:val="78716C"/>
          <w:sz w:val="18"/>
        </w:rPr>
        <w:t xml:space="preserve">    </w:t>
      </w:r>
    </w:p>
    <w:p>
      <w:pPr>
        <w:keepNext/>
        <w:spacing w:before="0" w:after="20" w:line="240" w:lineRule="auto"/>
      </w:pPr>
      <w:r>
        <w:rPr>
          <w:rFonts w:ascii="Calibri" w:hAnsi="Calibri" w:cs="Calibri"/>
          <w:b w:val="0"/>
          <w:i w:val="0"/>
          <w:color w:val="78716C"/>
          <w:sz w:val="18"/>
        </w:rPr>
        <w:t>Python  •  SQL  •  Machine Learning  •  Optimization  •  Product Analytics</w:t>
      </w:r>
    </w:p>
    <w:p>
      <w:pPr>
        <w:keepNext w:val="0"/>
        <w:spacing w:before="60" w:after="0" w:line="240" w:lineRule="auto"/>
      </w:pPr>
      <w:r>
        <w:rPr>
          <w:rFonts w:ascii="Calibri" w:hAnsi="Calibri" w:cs="Calibri"/>
          <w:b/>
          <w:i w:val="0"/>
          <w:color w:val="1C1917"/>
          <w:sz w:val="21"/>
        </w:rPr>
        <w:t>Bachelor of Business Administration (Marketing)  |  British Columbia Institute of Technology</w:t>
      </w:r>
      <w:r>
        <w:rPr>
          <w:rFonts w:ascii="Calibri" w:hAnsi="Calibri" w:cs="Calibri"/>
          <w:b w:val="0"/>
          <w:i w:val="0"/>
          <w:color w:val="78716C"/>
          <w:sz w:val="18"/>
        </w:rPr>
        <w:t xml:space="preserve">    </w:t>
      </w:r>
    </w:p>
    <w:p>
      <w:pPr>
        <w:keepNext w:val="0"/>
        <w:spacing w:before="20" w:after="20" w:line="240" w:lineRule="auto"/>
        <w:pBdr>
          <w:bottom w:val="single" w:sz="6" w:space="1" w:color="6D28D9"/>
        </w:pBdr>
      </w:pPr>
    </w:p>
    <w:p>
      <w:pPr>
        <w:keepNext/>
        <w:spacing w:before="80" w:after="20" w:line="240" w:lineRule="auto"/>
      </w:pPr>
      <w:r>
        <w:rPr>
          <w:rFonts w:ascii="Calibri" w:hAnsi="Calibri" w:cs="Calibri"/>
          <w:b/>
          <w:i w:val="0"/>
          <w:color w:val="6D28D9"/>
          <w:sz w:val="21"/>
        </w:rPr>
        <w:t>LEADERSHIP</w:t>
      </w:r>
    </w:p>
    <w:p>
      <w:pPr>
        <w:keepNext w:val="0"/>
        <w:spacing w:before="20" w:after="20" w:line="240" w:lineRule="auto"/>
      </w:pPr>
      <w:r>
        <w:rPr>
          <w:rFonts w:ascii="Calibri" w:hAnsi="Calibri" w:cs="Calibri"/>
          <w:b w:val="0"/>
          <w:i w:val="0"/>
          <w:color w:val="44403C"/>
          <w:sz w:val="19"/>
        </w:rPr>
        <w:t>Speaker, ProductCamp BC (2025) — “How Legacy Industries Can Adopt a Product Mindset to Improve Service Delivery.”  Mentor, ProductBC — discovery, roadmap judgment, and stakeholder communication.</w:t>
      </w:r>
    </w:p>
    <w:p>
      <w:pPr>
        <w:keepNext w:val="0"/>
        <w:spacing w:before="20" w:after="20" w:line="240" w:lineRule="auto"/>
        <w:pBdr>
          <w:bottom w:val="single" w:sz="6" w:space="1" w:color="6D28D9"/>
        </w:pBdr>
      </w:pPr>
    </w:p>
    <w:p>
      <w:pPr>
        <w:keepNext/>
        <w:spacing w:before="80" w:after="20" w:line="240" w:lineRule="auto"/>
      </w:pPr>
      <w:r>
        <w:rPr>
          <w:rFonts w:ascii="Calibri" w:hAnsi="Calibri" w:cs="Calibri"/>
          <w:b/>
          <w:i w:val="0"/>
          <w:color w:val="6D28D9"/>
          <w:sz w:val="21"/>
        </w:rPr>
        <w:t>SKILLS</w:t>
      </w:r>
    </w:p>
    <w:p>
      <w:pPr>
        <w:spacing w:before="20" w:after="0" w:line="240" w:lineRule="auto"/>
      </w:pPr>
      <w:r>
        <w:rPr>
          <w:rFonts w:ascii="Calibri" w:hAnsi="Calibri" w:cs="Calibri"/>
          <w:b/>
          <w:i w:val="0"/>
          <w:color w:val="5B21B6"/>
          <w:sz w:val="18"/>
        </w:rPr>
        <w:t xml:space="preserve">Product:  </w:t>
      </w:r>
      <w:r>
        <w:rPr>
          <w:rFonts w:ascii="Calibri" w:hAnsi="Calibri" w:cs="Calibri"/>
          <w:b w:val="0"/>
          <w:i w:val="0"/>
          <w:color w:val="44403C"/>
          <w:sz w:val="18"/>
        </w:rPr>
        <w:t>Strategy &amp; roadmaps  •  Customer discovery &amp; ride-alongs  •  UX &amp; experience quality  •  Specs &amp; acceptance criteria  •  Trade-off decisions  •  Phased launches &amp; onboarding</w:t>
      </w:r>
    </w:p>
    <w:p>
      <w:pPr>
        <w:spacing w:before="20" w:after="0" w:line="240" w:lineRule="auto"/>
      </w:pPr>
      <w:r>
        <w:rPr>
          <w:rFonts w:ascii="Calibri" w:hAnsi="Calibri" w:cs="Calibri"/>
          <w:b/>
          <w:i w:val="0"/>
          <w:color w:val="5B21B6"/>
          <w:sz w:val="18"/>
        </w:rPr>
        <w:t xml:space="preserve">Ops &amp; Data:  </w:t>
      </w:r>
      <w:r>
        <w:rPr>
          <w:rFonts w:ascii="Calibri" w:hAnsi="Calibri" w:cs="Calibri"/>
          <w:b w:val="0"/>
          <w:i w:val="0"/>
          <w:color w:val="44403C"/>
          <w:sz w:val="18"/>
        </w:rPr>
        <w:t>SQL  •  Funnel &amp; cohort analysis  •  PostHog  •  Workflow analysis  •  Segmentation  •  Task routing &amp; matching</w:t>
      </w:r>
    </w:p>
    <w:p>
      <w:pPr>
        <w:spacing w:before="20" w:after="0" w:line="240" w:lineRule="auto"/>
      </w:pPr>
      <w:r>
        <w:rPr>
          <w:rFonts w:ascii="Calibri" w:hAnsi="Calibri" w:cs="Calibri"/>
          <w:b/>
          <w:i w:val="0"/>
          <w:color w:val="5B21B6"/>
          <w:sz w:val="18"/>
        </w:rPr>
        <w:t xml:space="preserve">Healthcare:  </w:t>
      </w:r>
      <w:r>
        <w:rPr>
          <w:rFonts w:ascii="Calibri" w:hAnsi="Calibri" w:cs="Calibri"/>
          <w:b w:val="0"/>
          <w:i w:val="0"/>
          <w:color w:val="44403C"/>
          <w:sz w:val="18"/>
        </w:rPr>
        <w:t>EMR/EHR integrations  •  HL7 FHIR (design)  •  Clinician &amp; provider workflows  •  Referral, authorization &amp; claims workflows  •  Regulated healthcare operations</w:t>
      </w:r>
    </w:p>
    <w:p>
      <w:pPr>
        <w:spacing w:before="20" w:after="0" w:line="240" w:lineRule="auto"/>
      </w:pPr>
      <w:r>
        <w:rPr>
          <w:rFonts w:ascii="Calibri" w:hAnsi="Calibri" w:cs="Calibri"/>
          <w:b/>
          <w:i w:val="0"/>
          <w:color w:val="5B21B6"/>
          <w:sz w:val="18"/>
        </w:rPr>
        <w:t xml:space="preserve">Technical:  </w:t>
      </w:r>
      <w:r>
        <w:rPr>
          <w:rFonts w:ascii="Calibri" w:hAnsi="Calibri" w:cs="Calibri"/>
          <w:b w:val="0"/>
          <w:i w:val="0"/>
          <w:color w:val="44403C"/>
          <w:sz w:val="18"/>
        </w:rPr>
        <w:t>REST APIs  •  Azure API Management  •  OAuth 2.0  •  Python  •  Cursor  •  Lovable  •  Figma  •  Jira  •  Azure DevOps</w:t>
      </w:r>
    </w:p>
    <w:sectPr w:rsidR="00FC693F" w:rsidRPr="0006063C" w:rsidSect="00034616">
      <w:pgSz w:w="12240" w:h="15840"/>
      <w:pgMar w:top="709" w:right="964" w:bottom="652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khushdodani" TargetMode="External"/><Relationship Id="rId10" Type="http://schemas.openxmlformats.org/officeDocument/2006/relationships/hyperlink" Target="https://github.com/kdodani" TargetMode="External"/><Relationship Id="rId11" Type="http://schemas.openxmlformats.org/officeDocument/2006/relationships/hyperlink" Target="https://kdodani-portfolio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