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6"/>
  <w:body>
    <w:p>
      <w:pPr>
        <w:spacing w:before="0" w:after="0" w:line="240" w:lineRule="auto"/>
        <w:jc w:val="center"/>
      </w:pPr>
      <w:r>
        <w:rPr>
          <w:rFonts w:ascii="Calibri" w:hAnsi="Calibri" w:cs="Calibri"/>
          <w:b/>
          <w:i w:val="0"/>
          <w:color w:val="1C1917"/>
          <w:sz w:val="36"/>
        </w:rPr>
        <w:t>KHUSHBOO DODANI</w:t>
      </w:r>
    </w:p>
    <w:p>
      <w:pPr>
        <w:spacing w:before="20" w:after="0" w:line="240" w:lineRule="auto"/>
        <w:jc w:val="center"/>
      </w:pPr>
      <w:r>
        <w:rPr>
          <w:rFonts w:ascii="Calibri" w:hAnsi="Calibri" w:cs="Calibri"/>
          <w:b w:val="0"/>
          <w:i w:val="0"/>
          <w:color w:val="78716C"/>
          <w:sz w:val="18"/>
        </w:rPr>
        <w:t xml:space="preserve">San Francisco Bay Area  |  US work authorization  |  khushdodani@gmail.com  |  </w:t>
      </w:r>
      <w:hyperlink r:id="rId9">
        <w:r>
          <w:rPr>
            <w:rFonts w:ascii="Calibri" w:hAnsi="Calibri" w:cs="Calibri"/>
            <w:color w:val="78716C"/>
            <w:sz w:val="18"/>
            <w:szCs w:val="18"/>
            <w:u w:val="single"/>
          </w:rPr>
          <w:t xml:space="preserve">LinkedIn</w:t>
        </w:r>
      </w:hyperlink>
      <w:r>
        <w:rPr>
          <w:rFonts w:ascii="Calibri" w:hAnsi="Calibri" w:cs="Calibri"/>
          <w:b w:val="0"/>
          <w:i w:val="0"/>
          <w:color w:val="78716C"/>
          <w:sz w:val="18"/>
        </w:rPr>
        <w:t xml:space="preserve">  |  </w:t>
      </w:r>
      <w:hyperlink r:id="rId10">
        <w:r>
          <w:rPr>
            <w:rFonts w:ascii="Calibri" w:hAnsi="Calibri" w:cs="Calibri"/>
            <w:color w:val="78716C"/>
            <w:sz w:val="18"/>
            <w:szCs w:val="18"/>
            <w:u w:val="single"/>
          </w:rPr>
          <w:t xml:space="preserve">Portfolio</w:t>
        </w:r>
      </w:hyperlink>
    </w:p>
    <w:p>
      <w:pPr>
        <w:spacing w:before="20" w:after="0" w:line="240" w:lineRule="auto"/>
        <w:jc w:val="center"/>
      </w:pPr>
      <w:r>
        <w:rPr>
          <w:rFonts w:ascii="Calibri" w:hAnsi="Calibri" w:cs="Calibri"/>
          <w:b/>
          <w:i w:val="0"/>
          <w:color w:val="6D28D9"/>
          <w:sz w:val="24"/>
        </w:rPr>
        <w:t>PRODUCT MANAGER</w:t>
      </w:r>
    </w:p>
    <w:p>
      <w:pPr>
        <w:spacing w:before="0" w:after="20" w:line="240" w:lineRule="auto"/>
        <w:jc w:val="center"/>
      </w:pPr>
      <w:r>
        <w:rPr>
          <w:rFonts w:ascii="Calibri" w:hAnsi="Calibri" w:cs="Calibri"/>
          <w:b w:val="0"/>
          <w:i w:val="0"/>
          <w:color w:val="5B21B6"/>
          <w:sz w:val="18"/>
        </w:rPr>
        <w:t>Provider Portal Intake  •  Clinical Review Workflows  •  Provider Experience  •  AI-Assisted Care Decisions</w:t>
      </w:r>
    </w:p>
    <w:p>
      <w:pPr>
        <w:keepNext w:val="0"/>
        <w:spacing w:before="20" w:after="20" w:line="240" w:lineRule="auto"/>
        <w:pBdr>
          <w:bottom w:val="single" w:sz="6" w:space="1" w:color="6D28D9"/>
        </w:pBdr>
      </w:pPr>
    </w:p>
    <w:p>
      <w:pPr>
        <w:keepNext w:val="0"/>
        <w:spacing w:before="40" w:after="40" w:line="240" w:lineRule="auto"/>
      </w:pPr>
      <w:r>
        <w:rPr>
          <w:rFonts w:ascii="Calibri" w:hAnsi="Calibri" w:cs="Calibri"/>
          <w:b w:val="0"/>
          <w:i w:val="0"/>
          <w:color w:val="44403C"/>
          <w:sz w:val="19"/>
        </w:rPr>
        <w:t>Product Manager with 5+ years in regulated operations and 2+ years on the provider portal for a workers’ compensation payer. Owns treatment-authorization intake — the front door of clinical review — and the work that gets submissions off fax. Turns provider research and usage data into requirements, rollouts, and gains in provider experience and operational efficiency. Uses AI as decision support and leaves the call with the reviewer.</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EXPERIENCE</w:t>
      </w:r>
    </w:p>
    <w:p>
      <w:pPr>
        <w:keepNext/>
        <w:spacing w:before="60" w:after="0" w:line="240" w:lineRule="auto"/>
      </w:pPr>
      <w:r>
        <w:rPr>
          <w:rFonts w:ascii="Calibri" w:hAnsi="Calibri" w:cs="Calibri"/>
          <w:b/>
          <w:i w:val="0"/>
          <w:color w:val="1C1917"/>
          <w:sz w:val="21"/>
        </w:rPr>
        <w:t>Product Manager — Provider Intake &amp; Clinical Review  |  WorkSafeBC</w:t>
      </w:r>
      <w:r>
        <w:rPr>
          <w:rFonts w:ascii="Calibri" w:hAnsi="Calibri" w:cs="Calibri"/>
          <w:b w:val="0"/>
          <w:i w:val="0"/>
          <w:color w:val="78716C"/>
          <w:sz w:val="18"/>
        </w:rPr>
        <w:t xml:space="preserve">    Apr 2024 – Present</w:t>
      </w:r>
    </w:p>
    <w:p>
      <w:pPr>
        <w:keepNext/>
        <w:spacing w:before="40" w:after="0" w:line="240" w:lineRule="auto"/>
      </w:pPr>
      <w:r>
        <w:rPr>
          <w:rFonts w:ascii="Calibri" w:hAnsi="Calibri" w:cs="Calibri"/>
          <w:b w:val="0"/>
          <w:i/>
          <w:color w:val="4F46E5"/>
          <w:sz w:val="18"/>
        </w:rPr>
        <w:t>Clinical review intake  ·  provider portal</w:t>
      </w:r>
    </w:p>
    <w:p>
      <w:pPr>
        <w:pStyle w:val="ListBullet"/>
        <w:spacing w:before="0" w:after="0" w:line="240" w:lineRule="auto"/>
        <w:ind w:left="504" w:hanging="216"/>
      </w:pPr>
      <w:r>
        <w:rPr>
          <w:rFonts w:ascii="Calibri" w:hAnsi="Calibri" w:cs="Calibri"/>
          <w:b w:val="0"/>
          <w:i w:val="0"/>
          <w:color w:val="44403C"/>
          <w:sz w:val="19"/>
        </w:rPr>
        <w:t>Owned portal intake for physiotherapy treatment extensions — authorization to continue care — on an $80M program. Fax, phone, and mail carried the volume; 139K records set what the reviewer needed to see.</w:t>
      </w:r>
    </w:p>
    <w:p>
      <w:pPr>
        <w:pStyle w:val="ListBullet"/>
        <w:spacing w:before="0" w:after="0" w:line="240" w:lineRule="auto"/>
        <w:ind w:left="504" w:hanging="216"/>
      </w:pPr>
      <w:r>
        <w:rPr>
          <w:rFonts w:ascii="Calibri" w:hAnsi="Calibri" w:cs="Calibri"/>
          <w:b w:val="0"/>
          <w:i w:val="0"/>
          <w:color w:val="44403C"/>
          <w:sz w:val="19"/>
        </w:rPr>
        <w:t>Did not auto-approve. 79% were approved and 27% the same day — reviewers were skimming. The form captured treatment rationale so the case manager kept the decision.</w:t>
      </w:r>
    </w:p>
    <w:p>
      <w:pPr>
        <w:pStyle w:val="ListBullet"/>
        <w:spacing w:before="0" w:after="0" w:line="240" w:lineRule="auto"/>
        <w:ind w:left="504" w:hanging="216"/>
      </w:pPr>
      <w:r>
        <w:rPr>
          <w:rFonts w:ascii="Calibri" w:hAnsi="Calibri" w:cs="Calibri"/>
          <w:b w:val="0"/>
          <w:i w:val="0"/>
          <w:color w:val="44403C"/>
          <w:sz w:val="19"/>
        </w:rPr>
        <w:t>Shipped digital submission, tracking, and error validation in phases. Specified decision rationale with the claims team so clinics could see the outcome without calling. $300K approved to fix this path first.</w:t>
      </w:r>
    </w:p>
    <w:p>
      <w:pPr>
        <w:pStyle w:val="ListBullet"/>
        <w:spacing w:before="0" w:after="0" w:line="240" w:lineRule="auto"/>
        <w:ind w:left="504" w:hanging="216"/>
      </w:pPr>
      <w:r>
        <w:rPr>
          <w:rFonts w:ascii="Calibri" w:hAnsi="Calibri" w:cs="Calibri"/>
          <w:b w:val="0"/>
          <w:i w:val="0"/>
          <w:color w:val="44403C"/>
          <w:sz w:val="19"/>
        </w:rPr>
        <w:t>Provider interviews removed a body-map field that added scope and no clinical value, and captured the patient once across request types. Office staff submit; the clinician does not.</w:t>
      </w:r>
    </w:p>
    <w:p>
      <w:pPr>
        <w:keepNext/>
        <w:spacing w:before="40" w:after="0" w:line="240" w:lineRule="auto"/>
      </w:pPr>
      <w:r>
        <w:rPr>
          <w:rFonts w:ascii="Calibri" w:hAnsi="Calibri" w:cs="Calibri"/>
          <w:b w:val="0"/>
          <w:i/>
          <w:color w:val="4F46E5"/>
          <w:sz w:val="18"/>
        </w:rPr>
        <w:t>Provider experience, operational efficiency, and rollout</w:t>
      </w:r>
    </w:p>
    <w:p>
      <w:pPr>
        <w:pStyle w:val="ListBullet"/>
        <w:spacing w:before="0" w:after="0" w:line="240" w:lineRule="auto"/>
        <w:ind w:left="504" w:hanging="216"/>
      </w:pPr>
      <w:r>
        <w:rPr>
          <w:rFonts w:ascii="Calibri" w:hAnsi="Calibri" w:cs="Calibri"/>
          <w:b w:val="0"/>
          <w:i w:val="0"/>
          <w:color w:val="44403C"/>
          <w:sz w:val="19"/>
        </w:rPr>
        <w:t>25 of 3,795 organizations drove half of remaining paper. Rebuilt an 11-screen, 32-line flow into 5 screens with no line cap. Invalid submissions failed at intake and fell 40%.</w:t>
      </w:r>
    </w:p>
    <w:p>
      <w:pPr>
        <w:pStyle w:val="ListBullet"/>
        <w:spacing w:before="0" w:after="0" w:line="240" w:lineRule="auto"/>
        <w:ind w:left="504" w:hanging="216"/>
      </w:pPr>
      <w:r>
        <w:rPr>
          <w:rFonts w:ascii="Calibri" w:hAnsi="Calibri" w:cs="Calibri"/>
          <w:b w:val="0"/>
          <w:i w:val="0"/>
          <w:color w:val="44403C"/>
          <w:sz w:val="19"/>
        </w:rPr>
        <w:t>Portal share 39% → 55%; paper 56% → 19%; 60% digital in six months; about $200K saved a year. Secured $580K to scale. PostHog funnels, and dark, soft, and hard launches with operations.</w:t>
      </w:r>
    </w:p>
    <w:p>
      <w:pPr>
        <w:pStyle w:val="ListBullet"/>
        <w:spacing w:before="0" w:after="0" w:line="240" w:lineRule="auto"/>
        <w:ind w:left="504" w:hanging="216"/>
      </w:pPr>
      <w:r>
        <w:rPr>
          <w:rFonts w:ascii="Calibri" w:hAnsi="Calibri" w:cs="Calibri"/>
          <w:b w:val="0"/>
          <w:i w:val="0"/>
          <w:color w:val="44403C"/>
          <w:sz w:val="19"/>
        </w:rPr>
        <w:t>Physicians would not leave the chart for another portal. Led an OSCAR EMR proof of concept for in-chart submission, secured $80K, and set a roadmap covering about 70% of providers.</w:t>
      </w:r>
    </w:p>
    <w:p>
      <w:pPr>
        <w:keepNext/>
        <w:spacing w:before="40" w:after="0" w:line="240" w:lineRule="auto"/>
      </w:pPr>
      <w:r>
        <w:rPr>
          <w:rFonts w:ascii="Calibri" w:hAnsi="Calibri" w:cs="Calibri"/>
          <w:b w:val="0"/>
          <w:i/>
          <w:color w:val="4F46E5"/>
          <w:sz w:val="18"/>
        </w:rPr>
        <w:t>AI applied to healthcare review</w:t>
      </w:r>
    </w:p>
    <w:p>
      <w:pPr>
        <w:pStyle w:val="ListBullet"/>
        <w:spacing w:before="0" w:after="0" w:line="240" w:lineRule="auto"/>
        <w:ind w:left="504" w:hanging="216"/>
      </w:pPr>
      <w:r>
        <w:rPr>
          <w:rFonts w:ascii="Calibri" w:hAnsi="Calibri" w:cs="Calibri"/>
          <w:b w:val="0"/>
          <w:i w:val="0"/>
          <w:color w:val="44403C"/>
          <w:sz w:val="19"/>
        </w:rPr>
        <w:t>Led Referral Radar, an LLM prototype that recommends care-program referrals and shows the claim evidence. The reviewer kept the decision. 2nd at InnoFest 2025. Synthetic cases, checked by a case manager, replaced production records.</w:t>
      </w:r>
    </w:p>
    <w:p>
      <w:pPr>
        <w:keepNext/>
        <w:spacing w:before="60" w:after="0" w:line="240" w:lineRule="auto"/>
      </w:pPr>
      <w:r>
        <w:rPr>
          <w:rFonts w:ascii="Calibri" w:hAnsi="Calibri" w:cs="Calibri"/>
          <w:b/>
          <w:i w:val="0"/>
          <w:color w:val="1C1917"/>
          <w:sz w:val="21"/>
        </w:rPr>
        <w:t>Product Manager  |  Technical Safety BC</w:t>
      </w:r>
      <w:r>
        <w:rPr>
          <w:rFonts w:ascii="Calibri" w:hAnsi="Calibri" w:cs="Calibri"/>
          <w:b w:val="0"/>
          <w:i w:val="0"/>
          <w:color w:val="78716C"/>
          <w:sz w:val="18"/>
        </w:rPr>
        <w:t xml:space="preserve">    Oct 2021 – Apr 2024</w:t>
      </w:r>
    </w:p>
    <w:p>
      <w:pPr>
        <w:pStyle w:val="ListBullet"/>
        <w:spacing w:before="0" w:after="0" w:line="240" w:lineRule="auto"/>
        <w:ind w:left="504" w:hanging="216"/>
      </w:pPr>
      <w:r>
        <w:rPr>
          <w:rFonts w:ascii="Calibri" w:hAnsi="Calibri" w:cs="Calibri"/>
          <w:b w:val="0"/>
          <w:i w:val="0"/>
          <w:color w:val="44403C"/>
          <w:sz w:val="19"/>
        </w:rPr>
        <w:t>Shipped NLP classification into a live operational workflow, automatically routing inbound requests and taking that triage off a manual inbox.</w:t>
      </w:r>
    </w:p>
    <w:p>
      <w:pPr>
        <w:pStyle w:val="ListBullet"/>
        <w:spacing w:before="0" w:after="0" w:line="240" w:lineRule="auto"/>
        <w:ind w:left="504" w:hanging="216"/>
      </w:pPr>
      <w:r>
        <w:rPr>
          <w:rFonts w:ascii="Calibri" w:hAnsi="Calibri" w:cs="Calibri"/>
          <w:b w:val="0"/>
          <w:i w:val="0"/>
          <w:color w:val="44403C"/>
          <w:sz w:val="19"/>
        </w:rPr>
        <w:t>Led discovery for a mobile inspections platform with field staff — interviews, workflow mapping, and usability tests — and used that evidence to decide whether to fund the build.</w:t>
      </w:r>
    </w:p>
    <w:p>
      <w:pPr>
        <w:pStyle w:val="ListBullet"/>
        <w:spacing w:before="0" w:after="0" w:line="240" w:lineRule="auto"/>
        <w:ind w:left="504" w:hanging="216"/>
      </w:pPr>
      <w:r>
        <w:rPr>
          <w:rFonts w:ascii="Calibri" w:hAnsi="Calibri" w:cs="Calibri"/>
          <w:b w:val="0"/>
          <w:i w:val="0"/>
          <w:color w:val="44403C"/>
          <w:sz w:val="19"/>
        </w:rPr>
        <w:t>Built the retention metrics leadership prioritized against: 11.7% average annual churn, and an RFM model whose campaigns retained 78% of high-risk customers.</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EDUCATION</w:t>
      </w:r>
    </w:p>
    <w:p>
      <w:pPr>
        <w:keepNext/>
        <w:spacing w:before="60" w:after="0" w:line="240" w:lineRule="auto"/>
      </w:pPr>
      <w:r>
        <w:rPr>
          <w:rFonts w:ascii="Calibri" w:hAnsi="Calibri" w:cs="Calibri"/>
          <w:b/>
          <w:i w:val="0"/>
          <w:color w:val="1C1917"/>
          <w:sz w:val="21"/>
        </w:rPr>
        <w:t>Master of Business Analytics  |  University of British Columbia</w:t>
      </w:r>
      <w:r>
        <w:rPr>
          <w:rFonts w:ascii="Calibri" w:hAnsi="Calibri" w:cs="Calibri"/>
          <w:b w:val="0"/>
          <w:i w:val="0"/>
          <w:color w:val="78716C"/>
          <w:sz w:val="18"/>
        </w:rPr>
        <w:t xml:space="preserve">    </w:t>
      </w:r>
    </w:p>
    <w:p>
      <w:pPr>
        <w:keepNext/>
        <w:spacing w:before="0" w:after="20" w:line="240" w:lineRule="auto"/>
      </w:pPr>
      <w:r>
        <w:rPr>
          <w:rFonts w:ascii="Calibri" w:hAnsi="Calibri" w:cs="Calibri"/>
          <w:b w:val="0"/>
          <w:i w:val="0"/>
          <w:color w:val="78716C"/>
          <w:sz w:val="18"/>
        </w:rPr>
        <w:t>Python  •  SQL  •  Machine Learning  •  Optimization  •  Product Analytics</w:t>
      </w:r>
    </w:p>
    <w:p>
      <w:pPr>
        <w:keepNext w:val="0"/>
        <w:spacing w:before="60" w:after="0" w:line="240" w:lineRule="auto"/>
      </w:pPr>
      <w:r>
        <w:rPr>
          <w:rFonts w:ascii="Calibri" w:hAnsi="Calibri" w:cs="Calibri"/>
          <w:b/>
          <w:i w:val="0"/>
          <w:color w:val="1C1917"/>
          <w:sz w:val="21"/>
        </w:rPr>
        <w:t>Bachelor of Business Administration (Marketing)  |  British Columbia Institute of Technology</w:t>
      </w:r>
      <w:r>
        <w:rPr>
          <w:rFonts w:ascii="Calibri" w:hAnsi="Calibri" w:cs="Calibri"/>
          <w:b w:val="0"/>
          <w:i w:val="0"/>
          <w:color w:val="78716C"/>
          <w:sz w:val="18"/>
        </w:rPr>
        <w:t xml:space="preserve">    </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LEADERSHIP</w:t>
      </w:r>
    </w:p>
    <w:p>
      <w:pPr>
        <w:keepNext w:val="0"/>
        <w:spacing w:before="20" w:after="20" w:line="240" w:lineRule="auto"/>
      </w:pPr>
      <w:r>
        <w:rPr>
          <w:rFonts w:ascii="Calibri" w:hAnsi="Calibri" w:cs="Calibri"/>
          <w:b w:val="0"/>
          <w:i w:val="0"/>
          <w:color w:val="44403C"/>
          <w:sz w:val="19"/>
        </w:rPr>
        <w:t>Speaker, ProductCamp BC (2025) — “How Legacy Industries Can Adopt a Product Mindset to Improve Service Delivery.”  Mentor, ProductBC — discovery, roadmap judgment, and stakeholder communication.</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SKILLS</w:t>
      </w:r>
    </w:p>
    <w:p>
      <w:pPr>
        <w:spacing w:before="20" w:after="0" w:line="240" w:lineRule="auto"/>
      </w:pPr>
      <w:r>
        <w:rPr>
          <w:rFonts w:ascii="Calibri" w:hAnsi="Calibri" w:cs="Calibri"/>
          <w:b/>
          <w:i w:val="0"/>
          <w:color w:val="5B21B6"/>
          <w:sz w:val="18"/>
        </w:rPr>
        <w:t xml:space="preserve">Product:  </w:t>
      </w:r>
      <w:r>
        <w:rPr>
          <w:rFonts w:ascii="Calibri" w:hAnsi="Calibri" w:cs="Calibri"/>
          <w:b w:val="0"/>
          <w:i w:val="0"/>
          <w:color w:val="44403C"/>
          <w:sz w:val="18"/>
        </w:rPr>
        <w:t>Roadmaps  •  Requirements &amp; release criteria  •  Rollout planning  •  Executive updates  •  Provider research  •  Usage analytics</w:t>
      </w:r>
    </w:p>
    <w:p>
      <w:pPr>
        <w:spacing w:before="20" w:after="0" w:line="240" w:lineRule="auto"/>
      </w:pPr>
      <w:r>
        <w:rPr>
          <w:rFonts w:ascii="Calibri" w:hAnsi="Calibri" w:cs="Calibri"/>
          <w:b/>
          <w:i w:val="0"/>
          <w:color w:val="5B21B6"/>
          <w:sz w:val="18"/>
        </w:rPr>
        <w:t xml:space="preserve">Healthcare:  </w:t>
      </w:r>
      <w:r>
        <w:rPr>
          <w:rFonts w:ascii="Calibri" w:hAnsi="Calibri" w:cs="Calibri"/>
          <w:b w:val="0"/>
          <w:i w:val="0"/>
          <w:color w:val="44403C"/>
          <w:sz w:val="18"/>
        </w:rPr>
        <w:t>Provider portal  •  Treatment-authorization intake  •  Clinical review  •  Provider experience  •  Claims operations</w:t>
      </w:r>
    </w:p>
    <w:p>
      <w:pPr>
        <w:spacing w:before="20" w:after="0" w:line="240" w:lineRule="auto"/>
      </w:pPr>
      <w:r>
        <w:rPr>
          <w:rFonts w:ascii="Calibri" w:hAnsi="Calibri" w:cs="Calibri"/>
          <w:b/>
          <w:i w:val="0"/>
          <w:color w:val="5B21B6"/>
          <w:sz w:val="18"/>
        </w:rPr>
        <w:t xml:space="preserve">AI:  </w:t>
      </w:r>
      <w:r>
        <w:rPr>
          <w:rFonts w:ascii="Calibri" w:hAnsi="Calibri" w:cs="Calibri"/>
          <w:b w:val="0"/>
          <w:i w:val="0"/>
          <w:color w:val="44403C"/>
          <w:sz w:val="18"/>
        </w:rPr>
        <w:t>LLM decision support  •  Retrieval over clinical documents  •  Human-in-the-loop review  •  NLP classification</w:t>
      </w:r>
    </w:p>
    <w:p>
      <w:pPr>
        <w:spacing w:before="20" w:after="0" w:line="240" w:lineRule="auto"/>
      </w:pPr>
      <w:r>
        <w:rPr>
          <w:rFonts w:ascii="Calibri" w:hAnsi="Calibri" w:cs="Calibri"/>
          <w:b/>
          <w:i w:val="0"/>
          <w:color w:val="5B21B6"/>
          <w:sz w:val="18"/>
        </w:rPr>
        <w:t xml:space="preserve">Tools:  </w:t>
      </w:r>
      <w:r>
        <w:rPr>
          <w:rFonts w:ascii="Calibri" w:hAnsi="Calibri" w:cs="Calibri"/>
          <w:b w:val="0"/>
          <w:i w:val="0"/>
          <w:color w:val="44403C"/>
          <w:sz w:val="18"/>
        </w:rPr>
        <w:t>SQL  •  Python  •  PostHog  •  Figma  •  Prototyping  •  REST APIs  •  EMR integration discovery</w:t>
      </w:r>
    </w:p>
    <w:sectPr w:rsidR="00FC693F" w:rsidRPr="0006063C" w:rsidSect="00034616">
      <w:pgSz w:w="12240" w:h="15840"/>
      <w:pgMar w:top="709" w:right="964" w:bottom="65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hushdodani" TargetMode="External"/><Relationship Id="rId10" Type="http://schemas.openxmlformats.org/officeDocument/2006/relationships/hyperlink" Target="https://kdodan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