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 — HEALTHCARE EXPERIENCE, ACTIVATION &amp; LIFECYCLE</w:t>
      </w:r>
    </w:p>
    <w:p>
      <w:pPr>
        <w:spacing w:before="20" w:after="80"/>
        <w:jc w:val="center"/>
      </w:pPr>
      <w:r>
        <w:rPr>
          <w:color w:val="5B21B6"/>
          <w:sz w:val="18"/>
        </w:rPr>
        <w:t>Logged-in Provider Experiences  •  Lifecycle &amp; Re-engagement  •  Product Analytics  •  AI-Assisted Recommendations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Manager with 5 years of experience across digital products, healthcare-adjacent provider workflows, activation, retention, and analytics. At WorkSafeBC, improved a logged-in provider invoicing journey from 11 screens to 5, supported digital adoption reaching 60% within six months, reduced support calls 30%, and delivered approximately $200K in annual operational savings. Experienced in cross-channel adoption campaigns, behavioral segmentation, funnel instrumentation, staged launches, and retention experiments. Built an LLM/RAG recommendation prototype that surfaces evidence for human review. Master of Business Analytics;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Provider experience, activation &amp; analytics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Redesigned a logged-in provider invoicing journey from 11 screens to 5 on a platform handling 3.7M invoice line items. Analyzed organization-level volume to focus improvements on 25 of 3,795 organizations responsible for half of remaining paper volume. Digital adoption reached 60% within six months; paper share decreased from 56% to 19%; digital product share increased from 39% to 55%. Instrumented PostHog funnels and used dark, soft, and hard launches while protecting 322K existing digital lines/year. Support calls fell 30%, provider NPS rose 25 points, and invalid submissions fell 40%. Contributed to business cases securing $1.2M+ in funding, including $580K to scale the rebuild.</w:t>
      </w:r>
    </w:p>
    <w:p>
      <w:pPr>
        <w:keepNext/>
        <w:spacing w:before="60" w:after="20"/>
      </w:pPr>
      <w:r>
        <w:rPr>
          <w:b w:val="0"/>
          <w:i/>
          <w:color w:val="4F46E5"/>
          <w:sz w:val="18"/>
        </w:rPr>
        <w:t>Treatment continuity &amp; cross-channel adoption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Digitized physiotherapy treatment-extension requests within an $80M workers’ compensation program, moving a fax- and phone-based process into portal tracking with error validation, decision rationale, and notification email. Analyzed 139K historical requests; 79% were consistently approved. Preserved clinical review rather than pursuing auto-approval, and segmented the workflow around clinic administrators who submit requests and clinicians who deliver care.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Led a customer identity and access management migration for 5,600 healthcare providers across 500 organizations on a portal handling 62,000+ annual referrals. Coordinated adoption through email, in-product banners, and administrator-led versus self-serve paths; completed the migration with zero downtime.</w:t>
      </w:r>
    </w:p>
    <w:p>
      <w:pPr>
        <w:keepNext/>
        <w:spacing w:before="60" w:after="20"/>
      </w:pPr>
      <w:r>
        <w:rPr>
          <w:b w:val="0"/>
          <w:i/>
          <w:color w:val="4F46E5"/>
          <w:sz w:val="18"/>
        </w:rPr>
        <w:t>AI-assisted recommendations &amp; technical partnership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Built Referral Radar, an LLM/RAG prototype, to help case managers review 20–75 unstructured documents per claim and surface potentially relevant program pathways, including mental-health pathways. Recommendations included evidence traces for human review; the prototype did not replace clinical or case-manager judgment. Placed 2nd of 36 at InnoFest 2025.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Partnered with engineers on invoice API eligibility logic, event instrumentation, and EMR integration discovery. Secured $80K for an integration strategy covering ~70% of the provider ecosystem.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(promoted from Business Analyst)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Used membership analytics to identify 11.7% average annual churn; applied RFM segmentation and targeted engagement treatments against baseline outreach, retaining 78% of high-risk customers.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Shipped NLP classification to route inbound operational requests from a shared inbox to the appropriate queue. Led discovery for a mobile inspection platform through interviews, workflow mapping, and usability testing before engineering investment.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10" w:after="10"/>
        <w:ind w:left="576" w:hanging="288"/>
      </w:pPr>
      <w:r>
        <w:rPr>
          <w:color w:val="44403C"/>
          <w:sz w:val="18"/>
        </w:rPr>
        <w:t>Built product and market strategies for nonprofit and clean-energy clients; redesigned a consumer-facing conversion journey for Open Primaries, reducing bounce rate 37% while doubling subscriptions.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LEADERSHIP</w:t>
      </w:r>
    </w:p>
    <w:p>
      <w:pPr>
        <w:spacing w:before="20" w:after="40"/>
      </w:pPr>
      <w:r>
        <w:rPr>
          <w:i w:val="0"/>
          <w:color w:val="44403C"/>
          <w:sz w:val="18"/>
        </w:rPr>
        <w:t>Speaker, ProductCamp BC (2025) — “How Legacy Industries Can Adopt a Product Mindset to Improve Service Delivery.”   Mentor, ProductBC —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Activation  •  Onboarding  •  Lifecycle &amp; Re-engagement  •  Retention  •  Logged-in Workflows  •  Service Adoption  •  Segmentation  •  Product Discovery</w:t>
      </w:r>
    </w:p>
    <w:p>
      <w:pPr>
        <w:spacing w:before="40" w:after="40"/>
      </w:pPr>
      <w:r>
        <w:rPr>
          <w:b/>
          <w:color w:val="5B21B6"/>
          <w:sz w:val="18"/>
        </w:rPr>
        <w:t xml:space="preserve">Healthcare-adjacent workflows:  </w:t>
      </w:r>
      <w:r>
        <w:rPr>
          <w:color w:val="44403C"/>
          <w:sz w:val="18"/>
        </w:rPr>
        <w:t>Provider Experience  •  Treatment-Extension Workflows  •  Care Continuity  •  Eligibility  •  Care Operations  •  High-Trust Environments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Analytics &amp; technical:  </w:t>
      </w:r>
      <w:r>
        <w:rPr>
          <w:color w:val="44403C"/>
          <w:sz w:val="18"/>
        </w:rPr>
        <w:t>PostHog Funnels  •  Experimentation  •  Staged Launches  •  SQL  •  Python  •  REST APIs  •  Event Instrumentation  •  EMR/EHR Integration Discovery  •  Email &amp; In-product Adoption Campaigns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LLM / RAG Prototyping  •  Evidence Traces  •  Human-in-the-loop Recommendations  •  Next-best-pathway Concepts  •  NLP (shipped in operational routing)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