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South San Francisco,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</w:t>
      </w:r>
    </w:p>
    <w:p>
      <w:pPr>
        <w:spacing w:before="20" w:after="80"/>
        <w:jc w:val="center"/>
      </w:pPr>
      <w:r>
        <w:rPr>
          <w:color w:val="5B21B6"/>
          <w:sz w:val="18"/>
        </w:rPr>
        <w:t>Clinician Documentation  •  Point-of-Care EHR Writeback  •  LLM / Agents / Evals  •  Provider Adoption</w:t>
      </w:r>
    </w:p>
    <w:p>
      <w:pPr>
        <w:spacing w:before="40" w:after="40"/>
        <w:pBdr>
          <w:bottom w:val="single" w:sz="6" w:space="1" w:color="6D28D9"/>
        </w:pBdr>
      </w:pPr>
    </w:p>
    <w:p>
      <w:pPr>
        <w:spacing w:before="80" w:after="80"/>
      </w:pPr>
      <w:r>
        <w:rPr>
          <w:i w:val="0"/>
          <w:color w:val="44403C"/>
          <w:sz w:val="19"/>
        </w:rPr>
        <w:t>Product Manager with 5 years owning clinician-facing products end to end in regulated healthcare — cutting documentation burden at the point of care, shipping structured clinical data back into the EMR over APIs, and building an LLM/RAG multi-agent prototype evaluated on traceability with a human-in-the-loop boundary. Turns physician research into shipped product and defensible metrics: documentation completeness, clinician drop-off, support load, adoption. Master of Business Analytics; BBA in Marketing.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— Clinician Experience &amp; Clinical Documentation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AI Clinical Context, Agents &amp; Evals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Referral Radar, an LLM/RAG prototype (InnoFest 2nd place of 36 org-wide ideas, 2025) that synthesizes clinical context across 20–75 unstructured documents per case and surfaces referral opportunities with cited evidence — cutting ~90+ minutes of manual cross-referencing (SME-estimated) to minutes.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Set the eval bar with engineering and data science: multi-agent retrieval with evidence traces, scored on explainability and traceability rather than automation rate, behind a hard human-in-the-loop boundary (AI retrieves and reasons; clinicians decide).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Killed auto-approve on treatment extensions after 139K historical requests showed 79% were always approved — automating for throughput alone would have rubber-stamped an $80M annual spend, so clinical review stayed in the product.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Unblocked the AI sprint when production claim data was unavailable by designing a synthetic-data path validated with case managers; prototyped with Lovable and GitHub Copilot to pressure-test concepts with clinicians before engineering investment.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Documentation Burden &amp; Point-of-Care Workflows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Own the clinician-facing surfaces providers use to submit clinical documentation, treatment requests, referrals, and invoices end to end — vision through discovery, spec, launch, adoption, and iteration — with engineering, design, clinical operations, and program leadership.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Ran structured research with physicians (including ER clinicians billing hospital and emergency encounters) and mapped documentation under time pressure: GPs will not leave the EMR, and ER workflows still pull clinicians into administrative work. Every product after that sat inside the clinical workflow, not a side portal.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Rebuilt high-volume clinician submission after Pareto analysis showed 25 of 3,795 organizations drove 50% of remaining paper volume (~280K blocked line items): cut the flow from 11 screens to 5, moved paper from 56% to 19% of line items, grew portal share from 39% to 55%, and secured $580K in executive funding.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Treated documentation completeness as a quality problem, not a training problem: Form 8/11 notes were truncated and diagnosis codes guessed under a 2001 billing spec (52,000 faxes/year, ~28M keystrokes). Validation and simpler workflows improved data quality, cut support calls 30%, and lifted satisfaction (NPS +25).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Digitized physiotherapy treatment-extension requests (replacing fax and phone) with request tracking, error validation, and phased rollout — partnering with case-management platform owners on an $80M spend workflow so treatment continuity never stalled while clinical review stayed in the loop.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EHR Integration &amp; Structured Data Writeback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0-to-1 discovery and delivery for point-of-care submission so physicians could send structured clinical data directly from OSCAR (community GP EMR) instead of re-entering it in a portal — after 15 physician interviews showed GPs will not use software other than their EMR.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Held substantive architecture tradeoffs with engineers: JSON for POC speed with FHIR as the documented upgrade path, Azure API Management as a reusable facade over point-to-point integrations, and OAuth2.0/mTLS for the clinical data channel — decoupling clinical reporting from a billing spec that had frozen form content since 2015.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Secured $80K Innovation Council funding and an EMR vendor roadmap covering ~70% of the provider ecosystem (~1,200 physicians on the OSCAR beachhead; top 5 EMRs ≈ 80% of the market), coordinating 50 EMR vendors plus TELUS, ForgeRock, and government partners from requirements through go-live.</w:t>
      </w:r>
    </w:p>
    <w:p>
      <w:pPr>
        <w:keepNext/>
        <w:spacing w:before="0" w:after="20"/>
      </w:pPr>
      <w:r>
        <w:rPr>
          <w:b w:val="0"/>
          <w:i/>
          <w:color w:val="4F46E5"/>
          <w:sz w:val="18"/>
        </w:rPr>
        <w:t>Provider Adoption, Ops Playbooks &amp; Executive Relationships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Defined the metrics and instrumented PostHog funnels before launch, then ran named-cohort dark, soft, and hard launches with Healthcare Operations — adoption and clinician drop-off visible within days instead of after a big-bang cutover, with no disruption to existing digital volume.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a CIAM migration of 5,600 healthcare professionals across 500 organizations on a platform carrying 62,000+ annual referrals: segmented outreach, administrator-led versus self-serve rollout, helpdesk enablement — 0 service disruptions, 100% of active accounts transitioned on deadline.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Drove adoption across a multi-persona committee — physicians, ER and hospital billing teams, office admins, case managers, medical advisors, operations leaders, executives, EMR vendors — translating outcomes into sequenced roadmaps and written specs that aligned engineering, clinical, ops, and sales.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Shipped NLP-powered email classification into a live operational workflow to automate routing and triage of incoming requests, reducing manual inbox processing — the production ML predecessor to later LLM work.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field-inspection platform through contextual research, workflow mapping, usability testing, and prototyping before development investment — the same workflow-native pattern later applied to clinician documentation products, partnering with engineering, inspectors, design, and operations leaders.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operational analytics identifying an 11.7% average annual churn rate and an RFM segmentation model that drove targeted engagement campaigns retaining 78% of high-risk customers.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a data-driven acquisition strategy for Open Primaries that cut bounce rate 37% and doubled subscriptions.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analytics-driven growth strategies for 75+ client websites, lifting organic performance ~150%.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>
      <w:pPr>
        <w:spacing w:before="40" w:after="40"/>
      </w:pPr>
      <w:r>
        <w:rPr>
          <w:b/>
          <w:color w:val="1C1917"/>
          <w:sz w:val="19"/>
        </w:rPr>
        <w:t xml:space="preserve">Speaker — ProductCamp BC (2025):  </w:t>
      </w:r>
      <w:r>
        <w:rPr>
          <w:i/>
          <w:color w:val="44403C"/>
          <w:sz w:val="19"/>
        </w:rPr>
        <w:t>"How Legacy Industries Can Adopt a Product Mindset to Improve Service Delivery."</w:t>
      </w:r>
    </w:p>
    <w:p>
      <w:pPr>
        <w:spacing w:before="40" w:after="40"/>
      </w:pPr>
      <w:r>
        <w:rPr>
          <w:b/>
          <w:color w:val="1C1917"/>
          <w:sz w:val="19"/>
        </w:rPr>
        <w:t xml:space="preserve">Mentor — ProductBC:  </w:t>
      </w:r>
      <w:r>
        <w:rPr>
          <w:i w:val="0"/>
          <w:color w:val="44403C"/>
          <w:sz w:val="19"/>
        </w:rPr>
        <w:t>Mentor aspiring Product Managers in product discovery, strategy, and career development.</w:t>
      </w:r>
    </w:p>
    <w:p>
      <w:pPr>
        <w:spacing w:before="40" w:after="40"/>
        <w:pBdr>
          <w:bottom w:val="single" w:sz="6" w:space="1" w:color="6D28D9"/>
        </w:pBdr>
      </w:pPr>
    </w:p>
    <w:p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Strategy  •  End-to-End Ownership  •  0-to-1  •  OKRs &amp; Success Metrics  •  GTM &amp; Ops Playbooks  •  Enterprise Adoption  •  PRDs  •  Executive Influence</w:t>
      </w:r>
    </w:p>
    <w:p>
      <w:pPr>
        <w:spacing w:before="40" w:after="40"/>
      </w:pPr>
      <w:r>
        <w:rPr>
          <w:b/>
          <w:color w:val="5B21B6"/>
          <w:sz w:val="18"/>
        </w:rPr>
        <w:t xml:space="preserve">Clinical Workflows:  </w:t>
      </w:r>
      <w:r>
        <w:rPr>
          <w:color w:val="44403C"/>
          <w:sz w:val="18"/>
        </w:rPr>
        <w:t>Documentation Burden  •  Point-of-Care Workflows  •  EHR/EMR Integration &amp; Writeback  •  Structured Clinical Data Quality  •  Clinician Experience  •  Regulated Healthcare</w:t>
      </w:r>
    </w:p>
    <w:p>
      <w:pPr>
        <w:spacing w:before="40" w:after="40"/>
      </w:pPr>
      <w:r>
        <w:rPr>
          <w:b/>
          <w:color w:val="5B21B6"/>
          <w:sz w:val="18"/>
        </w:rPr>
        <w:t xml:space="preserve">AI / ML:  </w:t>
      </w:r>
      <w:r>
        <w:rPr>
          <w:color w:val="44403C"/>
          <w:sz w:val="18"/>
        </w:rPr>
        <w:t>LLM Applications  •  RAG  •  Multi-Agent Workflows  •  Evals  •  Human-in-the-Loop Design  •  Unstructured Document Synthesis  •  NLP  •  Synthetic Data</w:t>
      </w:r>
    </w:p>
    <w:p>
      <w:pPr>
        <w:spacing w:before="40" w:after="40"/>
      </w:pPr>
      <w:r>
        <w:rPr>
          <w:b/>
          <w:color w:val="5B21B6"/>
          <w:sz w:val="18"/>
        </w:rPr>
        <w:t xml:space="preserve">Technical:  </w:t>
      </w:r>
      <w:r>
        <w:rPr>
          <w:color w:val="44403C"/>
          <w:sz w:val="18"/>
        </w:rPr>
        <w:t>REST APIs  •  EMR/EHR Integrations  •  Azure APIM  •  OAuth2.0 / mTLS  •  JSON vs FHIR  •  SQL  •  Python  •  PostHog  •  GitHub Copilot  •  Lovable</w:t>
      </w:r>
    </w:p>
    <w:p>
      <w:pPr>
        <w:spacing w:before="40" w:after="40"/>
      </w:pPr>
      <w:r>
        <w:rPr>
          <w:b/>
          <w:color w:val="5B21B6"/>
          <w:sz w:val="18"/>
        </w:rPr>
        <w:t xml:space="preserve">Research:  </w:t>
      </w:r>
      <w:r>
        <w:rPr>
          <w:color w:val="44403C"/>
          <w:sz w:val="18"/>
        </w:rPr>
        <w:t>User Research  •  Physician &amp; ER Interviews  •  Journey Mapping  •  Usability Testing  •  Prototyping  •  Figma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