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9F6"/>
  <w:body>
    <w:p w14:paraId="36E0B60F" w14:textId="77777777" w:rsidR="00F87F6B" w:rsidRDefault="00000000">
      <w:pPr>
        <w:spacing w:after="40"/>
        <w:jc w:val="center"/>
      </w:pPr>
      <w:r>
        <w:rPr>
          <w:b/>
          <w:color w:val="1C1917"/>
          <w:sz w:val="36"/>
        </w:rPr>
        <w:t>KHUSHBOO DODANI</w:t>
      </w:r>
    </w:p>
    <w:p w14:paraId="65B52A66" w14:textId="0A51E6F6" w:rsidR="00F87F6B" w:rsidRDefault="00000000">
      <w:pPr>
        <w:spacing w:after="40"/>
        <w:jc w:val="center"/>
      </w:pPr>
      <w:r>
        <w:rPr>
          <w:color w:val="78716C"/>
          <w:sz w:val="18"/>
        </w:rPr>
        <w:t xml:space="preserve">San Francisco Bay </w:t>
      </w:r>
      <w:proofErr w:type="gramStart"/>
      <w:r>
        <w:rPr>
          <w:color w:val="78716C"/>
          <w:sz w:val="18"/>
        </w:rPr>
        <w:t>Area  |</w:t>
      </w:r>
      <w:proofErr w:type="gramEnd"/>
      <w:r>
        <w:rPr>
          <w:color w:val="78716C"/>
          <w:sz w:val="18"/>
        </w:rPr>
        <w:t xml:space="preserve">  </w:t>
      </w:r>
      <w:proofErr w:type="gramStart"/>
      <w:r>
        <w:rPr>
          <w:color w:val="78716C"/>
          <w:sz w:val="18"/>
        </w:rPr>
        <w:t>khushdodani@gmail.com  |</w:t>
      </w:r>
      <w:proofErr w:type="gramEnd"/>
      <w:r>
        <w:rPr>
          <w:color w:val="78716C"/>
          <w:sz w:val="18"/>
        </w:rPr>
        <w:t xml:space="preserve">  </w:t>
      </w:r>
      <w:hyperlink r:id="rId6">
        <w:r>
          <w:rPr>
            <w:color w:val="78716C"/>
            <w:sz w:val="18"/>
            <w:szCs w:val="18"/>
            <w:u w:val="single"/>
          </w:rPr>
          <w:t>LinkedIn</w:t>
        </w:r>
      </w:hyperlink>
      <w:r>
        <w:rPr>
          <w:color w:val="78716C"/>
          <w:sz w:val="18"/>
        </w:rPr>
        <w:t xml:space="preserve">  |  </w:t>
      </w:r>
      <w:hyperlink r:id="rId7">
        <w:r>
          <w:rPr>
            <w:color w:val="78716C"/>
            <w:sz w:val="18"/>
            <w:szCs w:val="18"/>
            <w:u w:val="single"/>
          </w:rPr>
          <w:t>GitHub</w:t>
        </w:r>
      </w:hyperlink>
      <w:r>
        <w:rPr>
          <w:color w:val="78716C"/>
          <w:sz w:val="18"/>
        </w:rPr>
        <w:t xml:space="preserve">  |  </w:t>
      </w:r>
      <w:hyperlink r:id="rId8">
        <w:r>
          <w:rPr>
            <w:color w:val="78716C"/>
            <w:sz w:val="18"/>
            <w:szCs w:val="18"/>
            <w:u w:val="single"/>
          </w:rPr>
          <w:t>Portfolio</w:t>
        </w:r>
      </w:hyperlink>
    </w:p>
    <w:p w14:paraId="722879CC" w14:textId="77777777" w:rsidR="00F87F6B" w:rsidRDefault="00000000">
      <w:pPr>
        <w:spacing w:before="40" w:after="40"/>
        <w:jc w:val="center"/>
      </w:pPr>
      <w:r>
        <w:rPr>
          <w:b/>
          <w:color w:val="6D28D9"/>
          <w:sz w:val="24"/>
        </w:rPr>
        <w:t>PRODUCT MANAGER</w:t>
      </w:r>
    </w:p>
    <w:p w14:paraId="38A13D3F" w14:textId="01D2AD60" w:rsidR="00F87F6B" w:rsidRDefault="00000000" w:rsidP="00527198">
      <w:pPr>
        <w:spacing w:before="20" w:after="80"/>
        <w:jc w:val="center"/>
      </w:pPr>
      <w:r>
        <w:rPr>
          <w:color w:val="5B21B6"/>
          <w:sz w:val="18"/>
        </w:rPr>
        <w:t xml:space="preserve">EHR Workflow </w:t>
      </w:r>
      <w:proofErr w:type="gramStart"/>
      <w:r>
        <w:rPr>
          <w:color w:val="5B21B6"/>
          <w:sz w:val="18"/>
        </w:rPr>
        <w:t>Strategy  •</w:t>
      </w:r>
      <w:proofErr w:type="gramEnd"/>
      <w:r>
        <w:rPr>
          <w:color w:val="5B21B6"/>
          <w:sz w:val="18"/>
        </w:rPr>
        <w:t xml:space="preserve">  Provider Workflow </w:t>
      </w:r>
      <w:proofErr w:type="gramStart"/>
      <w:r>
        <w:rPr>
          <w:color w:val="5B21B6"/>
          <w:sz w:val="18"/>
        </w:rPr>
        <w:t>Integration  •</w:t>
      </w:r>
      <w:proofErr w:type="gramEnd"/>
      <w:r>
        <w:rPr>
          <w:color w:val="5B21B6"/>
          <w:sz w:val="18"/>
        </w:rPr>
        <w:t xml:space="preserve">  Interoperability </w:t>
      </w:r>
      <w:proofErr w:type="gramStart"/>
      <w:r>
        <w:rPr>
          <w:color w:val="5B21B6"/>
          <w:sz w:val="18"/>
        </w:rPr>
        <w:t>Roadmaps  •</w:t>
      </w:r>
      <w:proofErr w:type="gramEnd"/>
      <w:r>
        <w:rPr>
          <w:color w:val="5B21B6"/>
          <w:sz w:val="18"/>
        </w:rPr>
        <w:t xml:space="preserve">  Business Cases &amp; KPIs</w:t>
      </w:r>
    </w:p>
    <w:p w14:paraId="1CB76485" w14:textId="77777777" w:rsidR="00F87F6B" w:rsidRDefault="00000000">
      <w:pPr>
        <w:spacing w:before="80" w:after="80"/>
      </w:pPr>
      <w:r>
        <w:rPr>
          <w:color w:val="44403C"/>
          <w:sz w:val="19"/>
        </w:rPr>
        <w:t>Product Manager with 5+ years setting strategy and roadmaps for complex products in regulated operations, including 2+ years on healthcare provider workflows and EMR interoperability. At WorkSafeBC, own the multi-year plan to move clinical reporting out of fax and portal workarounds and into the EMR at the point of care. Built the business case, won the investment, set adoption KPIs, and turned the roadmap into shipped work with engineering, architects, and clinical operations.</w:t>
      </w:r>
    </w:p>
    <w:p w14:paraId="4297F27F" w14:textId="77777777" w:rsidR="00F87F6B" w:rsidRDefault="00F87F6B">
      <w:pPr>
        <w:pBdr>
          <w:bottom w:val="single" w:sz="6" w:space="1" w:color="6D28D9"/>
        </w:pBdr>
        <w:spacing w:before="40" w:after="40"/>
      </w:pPr>
    </w:p>
    <w:p w14:paraId="5A3EC41B" w14:textId="77777777" w:rsidR="00F87F6B" w:rsidRDefault="00000000">
      <w:pPr>
        <w:keepNext/>
        <w:spacing w:before="160" w:after="40"/>
      </w:pPr>
      <w:r>
        <w:rPr>
          <w:b/>
          <w:color w:val="6D28D9"/>
          <w:sz w:val="21"/>
        </w:rPr>
        <w:t>EXPERIENCE</w:t>
      </w:r>
    </w:p>
    <w:p w14:paraId="34F63513" w14:textId="77777777" w:rsidR="00F87F6B" w:rsidRDefault="00000000">
      <w:pPr>
        <w:keepNext/>
        <w:spacing w:before="100" w:after="20"/>
      </w:pPr>
      <w:r>
        <w:rPr>
          <w:b/>
          <w:color w:val="1C1917"/>
          <w:sz w:val="20"/>
        </w:rPr>
        <w:t>Product Manager — Provider Workflow &amp; EHR Integration  |  WorkSafeBC</w:t>
      </w:r>
      <w:r>
        <w:rPr>
          <w:color w:val="78716C"/>
          <w:sz w:val="18"/>
        </w:rPr>
        <w:t xml:space="preserve">    Apr 2024 – Present</w:t>
      </w:r>
    </w:p>
    <w:p w14:paraId="645ED7A4" w14:textId="77777777" w:rsidR="00F87F6B" w:rsidRDefault="00000000">
      <w:pPr>
        <w:keepNext/>
        <w:spacing w:after="20"/>
      </w:pPr>
      <w:r>
        <w:rPr>
          <w:i/>
          <w:color w:val="4F46E5"/>
          <w:sz w:val="18"/>
        </w:rPr>
        <w:t>Strategy, Roadmap, and Investment</w:t>
      </w:r>
    </w:p>
    <w:p w14:paraId="2583A232" w14:textId="77777777" w:rsidR="00F87F6B" w:rsidRDefault="00000000">
      <w:pPr>
        <w:pStyle w:val="ListBullet"/>
        <w:spacing w:before="20" w:after="20"/>
        <w:ind w:left="576" w:hanging="288"/>
      </w:pPr>
      <w:r>
        <w:rPr>
          <w:color w:val="44403C"/>
          <w:sz w:val="19"/>
        </w:rPr>
        <w:t>Defined the multi-year interoperability roadmap for clinical reporting: start inside OSCAR, the open-source EMR used by community physicians, then sequence commercial EMR vendors toward coverage of about 70% of the provider ecosystem.</w:t>
      </w:r>
    </w:p>
    <w:p w14:paraId="45F2160E" w14:textId="77777777" w:rsidR="00F87F6B" w:rsidRDefault="00000000">
      <w:pPr>
        <w:pStyle w:val="ListBullet"/>
        <w:spacing w:before="20" w:after="20"/>
        <w:ind w:left="576" w:hanging="288"/>
      </w:pPr>
      <w:r>
        <w:rPr>
          <w:color w:val="44403C"/>
          <w:sz w:val="19"/>
        </w:rPr>
        <w:t>Built the investment case on existing physician research — GPs will not leave their EMR for a portal or web form — and secured $80K in Innovation Council funding. Redirected the program from another web form to a direct API inside the EMR.</w:t>
      </w:r>
    </w:p>
    <w:p w14:paraId="7344F245" w14:textId="77777777" w:rsidR="00F87F6B" w:rsidRDefault="00000000">
      <w:pPr>
        <w:pStyle w:val="ListBullet"/>
        <w:spacing w:before="20" w:after="20"/>
        <w:ind w:left="576" w:hanging="288"/>
      </w:pPr>
      <w:r>
        <w:rPr>
          <w:color w:val="44403C"/>
          <w:sz w:val="19"/>
        </w:rPr>
        <w:t>Owned the integration decisions with architects: embed submission in the EMR rather than a side portal; prove the model on OSCAR before paid vendors; JSON for the March 2025 proof of concept, with HL7 FHIR documented as the upgrade path and Azure APIM as the reusable gateway.</w:t>
      </w:r>
    </w:p>
    <w:p w14:paraId="370F4371" w14:textId="77777777" w:rsidR="00F87F6B" w:rsidRDefault="00000000">
      <w:pPr>
        <w:keepNext/>
        <w:spacing w:after="20"/>
      </w:pPr>
      <w:r>
        <w:rPr>
          <w:i/>
          <w:color w:val="4F46E5"/>
          <w:sz w:val="18"/>
        </w:rPr>
        <w:t>Provider Workflow and Measurement</w:t>
      </w:r>
    </w:p>
    <w:p w14:paraId="5F9B21FC" w14:textId="77777777" w:rsidR="00F87F6B" w:rsidRDefault="00000000">
      <w:pPr>
        <w:pStyle w:val="ListBullet"/>
        <w:spacing w:before="20" w:after="20"/>
        <w:ind w:left="576" w:hanging="288"/>
      </w:pPr>
      <w:r>
        <w:rPr>
          <w:color w:val="44403C"/>
          <w:sz w:val="19"/>
        </w:rPr>
        <w:t>Owned the clinician invoicing workflow for high-volume clinics. Cut the submission journey from 11 screens to 5 after segmentation showed 25 of 3,795 organizations generated half of the remaining paper volume.</w:t>
      </w:r>
    </w:p>
    <w:p w14:paraId="5D73BBE1" w14:textId="77777777" w:rsidR="00F87F6B" w:rsidRDefault="00000000">
      <w:pPr>
        <w:pStyle w:val="ListBullet"/>
        <w:spacing w:before="20" w:after="20"/>
        <w:ind w:left="576" w:hanging="288"/>
      </w:pPr>
      <w:r>
        <w:rPr>
          <w:color w:val="44403C"/>
          <w:sz w:val="19"/>
        </w:rPr>
        <w:t>Set the product KPIs and measured the outcome: paper share of line items fell from 56% to 19%, and digital channel share rose from 39% to 55%. Secured $580K to scale the workflow. Instrumented PostHog funnels and ran named-cohort dark, soft, and hard launches so drop-off was visible within days.</w:t>
      </w:r>
    </w:p>
    <w:p w14:paraId="3BFB7FD4" w14:textId="77777777" w:rsidR="00F87F6B" w:rsidRDefault="00000000">
      <w:pPr>
        <w:keepNext/>
        <w:spacing w:after="20"/>
      </w:pPr>
      <w:r>
        <w:rPr>
          <w:i/>
          <w:color w:val="4F46E5"/>
          <w:sz w:val="18"/>
        </w:rPr>
        <w:t>Cross-functional Delivery</w:t>
      </w:r>
    </w:p>
    <w:p w14:paraId="3A63C0BB" w14:textId="77777777" w:rsidR="00F87F6B" w:rsidRDefault="00000000">
      <w:pPr>
        <w:pStyle w:val="ListBullet"/>
        <w:spacing w:before="20" w:after="20"/>
        <w:ind w:left="576" w:hanging="288"/>
      </w:pPr>
      <w:r>
        <w:rPr>
          <w:color w:val="44403C"/>
          <w:sz w:val="19"/>
        </w:rPr>
        <w:t>Led the identity migration for 5,600 healthcare professionals across 500 organizations on a portal carrying 62,000+ annual referrals — zero service disruptions, and 100% of active accounts transitioned on deadline.</w:t>
      </w:r>
    </w:p>
    <w:p w14:paraId="1FE5A22C" w14:textId="77777777" w:rsidR="00F87F6B" w:rsidRDefault="00000000">
      <w:pPr>
        <w:pStyle w:val="ListBullet"/>
        <w:spacing w:before="20" w:after="20"/>
        <w:ind w:left="576" w:hanging="288"/>
      </w:pPr>
      <w:r>
        <w:rPr>
          <w:color w:val="44403C"/>
          <w:sz w:val="19"/>
        </w:rPr>
        <w:t>Translated the roadmap into sequenced delivery with engineering, solution architects, and clinical operations, from proof of concept through the vendor-expansion plan.</w:t>
      </w:r>
    </w:p>
    <w:p w14:paraId="478B3C77" w14:textId="77777777" w:rsidR="00F87F6B" w:rsidRDefault="00000000">
      <w:pPr>
        <w:keepNext/>
        <w:spacing w:before="100" w:after="20"/>
      </w:pPr>
      <w:r>
        <w:rPr>
          <w:b/>
          <w:color w:val="1C1917"/>
          <w:sz w:val="20"/>
        </w:rPr>
        <w:t>Product Manager  |  Technical Safety BC</w:t>
      </w:r>
      <w:r>
        <w:rPr>
          <w:color w:val="78716C"/>
          <w:sz w:val="18"/>
        </w:rPr>
        <w:t xml:space="preserve">    Oct 2021 – Apr 2024</w:t>
      </w:r>
    </w:p>
    <w:p w14:paraId="439B69D6" w14:textId="77777777" w:rsidR="00F87F6B" w:rsidRDefault="00000000">
      <w:pPr>
        <w:pStyle w:val="ListBullet"/>
        <w:spacing w:before="20" w:after="20"/>
        <w:ind w:left="576" w:hanging="288"/>
      </w:pPr>
      <w:r>
        <w:rPr>
          <w:color w:val="44403C"/>
          <w:sz w:val="19"/>
        </w:rPr>
        <w:t>Led discovery for a mobile remote-inspections platform with field inspectors — contextual research, workflow mapping, and usability testing — and used that evidence to decide whether to invest in build.</w:t>
      </w:r>
    </w:p>
    <w:p w14:paraId="3C3810F5" w14:textId="77777777" w:rsidR="00F87F6B" w:rsidRDefault="00000000">
      <w:pPr>
        <w:pStyle w:val="ListBullet"/>
        <w:spacing w:before="20" w:after="20"/>
        <w:ind w:left="576" w:hanging="288"/>
      </w:pPr>
      <w:r>
        <w:rPr>
          <w:color w:val="44403C"/>
          <w:sz w:val="19"/>
        </w:rPr>
        <w:t>Shipped NLP email classification into a live operational workflow, automating routing and triage of incoming requests in a regulated environment with multiple operational stakeholders.</w:t>
      </w:r>
    </w:p>
    <w:p w14:paraId="4DEF5527" w14:textId="77777777" w:rsidR="00F87F6B" w:rsidRDefault="00000000">
      <w:pPr>
        <w:pStyle w:val="ListBullet"/>
        <w:spacing w:before="20" w:after="20"/>
        <w:ind w:left="576" w:hanging="288"/>
      </w:pPr>
      <w:r>
        <w:rPr>
          <w:color w:val="44403C"/>
          <w:sz w:val="19"/>
        </w:rPr>
        <w:t>Established the outcome metrics leadership used to prioritize retention: an 11.7% average annual churn rate, and an RFM segmentation model whose campaigns retained 78% of high-risk customers.</w:t>
      </w:r>
    </w:p>
    <w:p w14:paraId="71A2A450" w14:textId="77777777" w:rsidR="00F87F6B" w:rsidRDefault="00000000">
      <w:pPr>
        <w:keepNext/>
        <w:spacing w:before="100" w:after="20"/>
      </w:pPr>
      <w:r>
        <w:rPr>
          <w:b/>
          <w:color w:val="1C1917"/>
          <w:sz w:val="20"/>
        </w:rPr>
        <w:t>Strategy Consultant  |  180 Degrees Consulting — University of British Columbia</w:t>
      </w:r>
      <w:r>
        <w:rPr>
          <w:color w:val="78716C"/>
          <w:sz w:val="18"/>
        </w:rPr>
        <w:t xml:space="preserve">    Sep 2020 – Oct 2021</w:t>
      </w:r>
    </w:p>
    <w:p w14:paraId="07868787" w14:textId="77777777" w:rsidR="00F87F6B" w:rsidRDefault="00000000">
      <w:pPr>
        <w:pStyle w:val="ListBullet"/>
        <w:spacing w:before="20" w:after="20"/>
        <w:ind w:left="576" w:hanging="288"/>
      </w:pPr>
      <w:r>
        <w:rPr>
          <w:color w:val="44403C"/>
          <w:sz w:val="19"/>
        </w:rPr>
        <w:t>Developed product and market strategies for nonprofit and clean energy organizations through customer research and market analysis.</w:t>
      </w:r>
    </w:p>
    <w:p w14:paraId="4F0A0043" w14:textId="77777777" w:rsidR="00F87F6B" w:rsidRDefault="00F87F6B">
      <w:pPr>
        <w:pBdr>
          <w:bottom w:val="single" w:sz="6" w:space="1" w:color="6D28D9"/>
        </w:pBdr>
        <w:spacing w:before="40" w:after="40"/>
      </w:pPr>
    </w:p>
    <w:p w14:paraId="4DB8E959" w14:textId="77777777" w:rsidR="00F87F6B" w:rsidRDefault="00000000">
      <w:pPr>
        <w:keepNext/>
        <w:spacing w:before="160" w:after="40"/>
      </w:pPr>
      <w:r>
        <w:rPr>
          <w:b/>
          <w:color w:val="6D28D9"/>
          <w:sz w:val="21"/>
        </w:rPr>
        <w:lastRenderedPageBreak/>
        <w:t>EDUCATION</w:t>
      </w:r>
    </w:p>
    <w:p w14:paraId="49DCE176" w14:textId="77777777" w:rsidR="00F87F6B" w:rsidRDefault="00000000">
      <w:pPr>
        <w:keepNext/>
        <w:spacing w:before="100" w:after="20"/>
      </w:pPr>
      <w:r>
        <w:rPr>
          <w:b/>
          <w:color w:val="1C1917"/>
          <w:sz w:val="20"/>
        </w:rPr>
        <w:t>Master of Business Analytics  |  University of British Columbia</w:t>
      </w:r>
      <w:r>
        <w:rPr>
          <w:color w:val="78716C"/>
          <w:sz w:val="18"/>
        </w:rPr>
        <w:t xml:space="preserve">    </w:t>
      </w:r>
    </w:p>
    <w:p w14:paraId="39C23573" w14:textId="77777777" w:rsidR="00F87F6B" w:rsidRDefault="00000000">
      <w:pPr>
        <w:spacing w:before="40" w:after="40"/>
      </w:pPr>
      <w:r>
        <w:rPr>
          <w:color w:val="78716C"/>
          <w:sz w:val="18"/>
        </w:rPr>
        <w:t>Python  •  SQL  •  Machine Learning  •  Optimization  •  Product Analytics</w:t>
      </w:r>
    </w:p>
    <w:p w14:paraId="6A893E7D" w14:textId="77777777" w:rsidR="00F87F6B" w:rsidRDefault="00000000">
      <w:pPr>
        <w:keepNext/>
        <w:spacing w:before="100" w:after="20"/>
      </w:pPr>
      <w:r>
        <w:rPr>
          <w:b/>
          <w:color w:val="1C1917"/>
          <w:sz w:val="20"/>
        </w:rPr>
        <w:t>Bachelor of Business Administration (Marketing)  |  British Columbia Institute of Technology</w:t>
      </w:r>
      <w:r>
        <w:rPr>
          <w:color w:val="78716C"/>
          <w:sz w:val="18"/>
        </w:rPr>
        <w:t xml:space="preserve">    </w:t>
      </w:r>
    </w:p>
    <w:p w14:paraId="2E2F26B7" w14:textId="77777777" w:rsidR="00F87F6B" w:rsidRDefault="00F87F6B">
      <w:pPr>
        <w:pBdr>
          <w:bottom w:val="single" w:sz="6" w:space="1" w:color="6D28D9"/>
        </w:pBdr>
        <w:spacing w:before="40" w:after="40"/>
      </w:pPr>
    </w:p>
    <w:p w14:paraId="61ED0422" w14:textId="77777777" w:rsidR="00F87F6B" w:rsidRDefault="00000000">
      <w:pPr>
        <w:keepNext/>
        <w:spacing w:before="160" w:after="40"/>
      </w:pPr>
      <w:r>
        <w:rPr>
          <w:b/>
          <w:color w:val="6D28D9"/>
          <w:sz w:val="21"/>
        </w:rPr>
        <w:t>LEADERSHIP</w:t>
      </w:r>
    </w:p>
    <w:p w14:paraId="5CC47B65" w14:textId="77777777" w:rsidR="00F87F6B" w:rsidRDefault="00000000">
      <w:pPr>
        <w:keepNext/>
        <w:spacing w:after="20"/>
      </w:pPr>
      <w:r>
        <w:rPr>
          <w:b/>
          <w:color w:val="1C1917"/>
          <w:sz w:val="19"/>
        </w:rPr>
        <w:t>Speaker — ProductCamp BC (2025)</w:t>
      </w:r>
    </w:p>
    <w:p w14:paraId="78BEB2DF" w14:textId="77777777" w:rsidR="00F87F6B" w:rsidRDefault="00000000">
      <w:pPr>
        <w:spacing w:after="40"/>
      </w:pPr>
      <w:r>
        <w:rPr>
          <w:i/>
          <w:color w:val="44403C"/>
          <w:sz w:val="19"/>
        </w:rPr>
        <w:t>"How Legacy Industries Can Adopt a Product Mindset to Improve Service Delivery."</w:t>
      </w:r>
    </w:p>
    <w:p w14:paraId="46E10567" w14:textId="77777777" w:rsidR="00F87F6B" w:rsidRDefault="00F87F6B">
      <w:pPr>
        <w:pBdr>
          <w:bottom w:val="single" w:sz="6" w:space="1" w:color="6D28D9"/>
        </w:pBdr>
        <w:spacing w:before="40" w:after="40"/>
      </w:pPr>
    </w:p>
    <w:p w14:paraId="41992BF1" w14:textId="77777777" w:rsidR="00F87F6B" w:rsidRDefault="00000000">
      <w:pPr>
        <w:keepNext/>
        <w:spacing w:before="160" w:after="40"/>
      </w:pPr>
      <w:r>
        <w:rPr>
          <w:b/>
          <w:color w:val="6D28D9"/>
          <w:sz w:val="21"/>
        </w:rPr>
        <w:t>SKILLS</w:t>
      </w:r>
    </w:p>
    <w:p w14:paraId="2C378921" w14:textId="77777777" w:rsidR="00F87F6B" w:rsidRDefault="00000000">
      <w:pPr>
        <w:spacing w:before="40" w:after="40"/>
      </w:pPr>
      <w:r>
        <w:rPr>
          <w:b/>
          <w:color w:val="5B21B6"/>
          <w:sz w:val="18"/>
        </w:rPr>
        <w:t xml:space="preserve">Product:  </w:t>
      </w:r>
      <w:r>
        <w:rPr>
          <w:color w:val="44403C"/>
          <w:sz w:val="18"/>
        </w:rPr>
        <w:t>Product Strategy  •  Multi-year Roadmaps  •  Business Cases &amp; Investment Recommendations  •  Product KPIs  •  Cross-functional Delivery  •  Workflow Prioritization</w:t>
      </w:r>
    </w:p>
    <w:p w14:paraId="699482E3" w14:textId="77777777" w:rsidR="00F87F6B" w:rsidRDefault="00000000">
      <w:pPr>
        <w:spacing w:before="40" w:after="40"/>
      </w:pPr>
      <w:r>
        <w:rPr>
          <w:b/>
          <w:color w:val="5B21B6"/>
          <w:sz w:val="18"/>
        </w:rPr>
        <w:t xml:space="preserve">Healthcare:  </w:t>
      </w:r>
      <w:r>
        <w:rPr>
          <w:color w:val="44403C"/>
          <w:sz w:val="18"/>
        </w:rPr>
        <w:t>EHR/EMR Integration  •  Interoperability  •  Clinical Documentation  •  Provider Workflow  •  Provider Experience  •  Regulated Healthcare</w:t>
      </w:r>
    </w:p>
    <w:p w14:paraId="016E3EBF" w14:textId="77777777" w:rsidR="00F87F6B" w:rsidRDefault="00000000">
      <w:pPr>
        <w:spacing w:before="40" w:after="40"/>
      </w:pPr>
      <w:r>
        <w:rPr>
          <w:b/>
          <w:color w:val="5B21B6"/>
          <w:sz w:val="18"/>
        </w:rPr>
        <w:t xml:space="preserve">Technical:  </w:t>
      </w:r>
      <w:r>
        <w:rPr>
          <w:color w:val="44403C"/>
          <w:sz w:val="18"/>
        </w:rPr>
        <w:t>REST APIs  •  Azure APIM  •  OAuth 2.0  •  SQL  •  Python  •  PostHog  •  Product Analytics</w:t>
      </w:r>
    </w:p>
    <w:sectPr w:rsidR="00F87F6B"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069330">
    <w:abstractNumId w:val="8"/>
  </w:num>
  <w:num w:numId="2" w16cid:durableId="1219826099">
    <w:abstractNumId w:val="6"/>
  </w:num>
  <w:num w:numId="3" w16cid:durableId="619989730">
    <w:abstractNumId w:val="5"/>
  </w:num>
  <w:num w:numId="4" w16cid:durableId="1822237917">
    <w:abstractNumId w:val="4"/>
  </w:num>
  <w:num w:numId="5" w16cid:durableId="1619411879">
    <w:abstractNumId w:val="7"/>
  </w:num>
  <w:num w:numId="6" w16cid:durableId="1668707508">
    <w:abstractNumId w:val="3"/>
  </w:num>
  <w:num w:numId="7" w16cid:durableId="652490714">
    <w:abstractNumId w:val="2"/>
  </w:num>
  <w:num w:numId="8" w16cid:durableId="335888536">
    <w:abstractNumId w:val="1"/>
  </w:num>
  <w:num w:numId="9" w16cid:durableId="196484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198"/>
    <w:rsid w:val="008D330B"/>
    <w:rsid w:val="00AA1D8D"/>
    <w:rsid w:val="00B47730"/>
    <w:rsid w:val="00CB0664"/>
    <w:rsid w:val="00F87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61654"/>
  <w14:defaultImageDpi w14:val="300"/>
  <w15:docId w15:val="{B89FB234-B69D-457F-B627-EE01391B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dodani-portfolio.vercel.app" TargetMode="External"/><Relationship Id="rId3" Type="http://schemas.openxmlformats.org/officeDocument/2006/relationships/styles" Target="styles.xml"/><Relationship Id="rId7" Type="http://schemas.openxmlformats.org/officeDocument/2006/relationships/hyperlink" Target="https://github.com/kdoda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hushdodan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ddodani@student.ubc.ca</cp:lastModifiedBy>
  <cp:revision>3</cp:revision>
  <cp:lastPrinted>2026-10-22T18:12:00Z</cp:lastPrinted>
  <dcterms:created xsi:type="dcterms:W3CDTF">2013-12-23T23:15:00Z</dcterms:created>
  <dcterms:modified xsi:type="dcterms:W3CDTF">2026-10-22T18:13:00Z</dcterms:modified>
  <cp:category/>
</cp:coreProperties>
</file>