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9F6"/>
  <w:body>
    <w:p w14:paraId="25980A12" w14:textId="77777777" w:rsidR="00A0269D" w:rsidRDefault="00000000">
      <w:pPr>
        <w:spacing w:after="40"/>
        <w:jc w:val="center"/>
      </w:pPr>
      <w:r>
        <w:rPr>
          <w:b/>
          <w:color w:val="1C1917"/>
          <w:sz w:val="36"/>
        </w:rPr>
        <w:t>KHUSHBOO DODANI</w:t>
      </w:r>
    </w:p>
    <w:p w14:paraId="54C71B58" w14:textId="4F301558" w:rsidR="00A0269D" w:rsidRDefault="00F6703F">
      <w:pPr>
        <w:spacing w:after="40"/>
        <w:jc w:val="center"/>
      </w:pPr>
      <w:r>
        <w:rPr>
          <w:color w:val="78716C"/>
          <w:sz w:val="18"/>
        </w:rPr>
        <w:t>San Francisco Bay Area (willing to relocate)</w:t>
      </w:r>
      <w:r w:rsidR="00000000">
        <w:rPr>
          <w:color w:val="78716C"/>
          <w:sz w:val="18"/>
        </w:rPr>
        <w:t xml:space="preserve">  |  khushdodani@gmail.com  |  </w:t>
      </w:r>
      <w:hyperlink r:id="rId6">
        <w:r w:rsidR="00000000">
          <w:rPr>
            <w:color w:val="78716C"/>
            <w:sz w:val="18"/>
            <w:szCs w:val="18"/>
            <w:u w:val="single"/>
          </w:rPr>
          <w:t>LinkedIn</w:t>
        </w:r>
      </w:hyperlink>
      <w:r w:rsidR="00000000">
        <w:rPr>
          <w:color w:val="78716C"/>
          <w:sz w:val="18"/>
        </w:rPr>
        <w:t xml:space="preserve">  |  </w:t>
      </w:r>
      <w:hyperlink r:id="rId7">
        <w:r w:rsidR="00000000">
          <w:rPr>
            <w:color w:val="78716C"/>
            <w:sz w:val="18"/>
            <w:szCs w:val="18"/>
            <w:u w:val="single"/>
          </w:rPr>
          <w:t>GitHub</w:t>
        </w:r>
      </w:hyperlink>
      <w:r w:rsidR="00000000">
        <w:rPr>
          <w:color w:val="78716C"/>
          <w:sz w:val="18"/>
        </w:rPr>
        <w:t xml:space="preserve">  |  </w:t>
      </w:r>
      <w:hyperlink r:id="rId8">
        <w:r w:rsidR="00000000">
          <w:rPr>
            <w:color w:val="78716C"/>
            <w:sz w:val="18"/>
            <w:szCs w:val="18"/>
            <w:u w:val="single"/>
          </w:rPr>
          <w:t>Portfolio</w:t>
        </w:r>
      </w:hyperlink>
    </w:p>
    <w:p w14:paraId="7570F1C2" w14:textId="77777777" w:rsidR="00A0269D" w:rsidRDefault="00000000"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 w14:paraId="1A885812" w14:textId="02AFB467" w:rsidR="00A0269D" w:rsidRDefault="00000000" w:rsidP="00F6703F">
      <w:pPr>
        <w:spacing w:before="20" w:after="80"/>
        <w:jc w:val="center"/>
      </w:pPr>
      <w:r>
        <w:rPr>
          <w:color w:val="5B21B6"/>
          <w:sz w:val="18"/>
        </w:rPr>
        <w:t>B2B Client Platforms  •  External Portal + Internal Systems  •  Revenue &amp; Eligibility  •  Data Products  •  AI-Enabled Operations</w:t>
      </w:r>
    </w:p>
    <w:p w14:paraId="7BA76308" w14:textId="77777777" w:rsidR="00A0269D" w:rsidRDefault="00000000">
      <w:pPr>
        <w:spacing w:before="80" w:after="80"/>
      </w:pPr>
      <w:r>
        <w:rPr>
          <w:color w:val="44403C"/>
          <w:sz w:val="19"/>
        </w:rPr>
        <w:t>Product Manager with 5 years owning B2B healthcare platforms — both the external client-facing portal and the internal systems used by operations, implementations, and finance-adjacent teams. Experience covering invoicing, eligibility rules, and billing workflows, plus data products on membership and revenue. Strong systems thinker; designs for edge cases and failure modes. Ships 0-to-1 and scaled products with engineering and operations. Uses AI daily to analyze, prototype, and accelerate discovery. Master of Business Analytics; BBA in Marketing.</w:t>
      </w:r>
    </w:p>
    <w:p w14:paraId="5F8F2875" w14:textId="77777777" w:rsidR="00A0269D" w:rsidRDefault="00A0269D">
      <w:pPr>
        <w:pBdr>
          <w:bottom w:val="single" w:sz="6" w:space="1" w:color="6D28D9"/>
        </w:pBdr>
        <w:spacing w:before="40" w:after="40"/>
      </w:pPr>
    </w:p>
    <w:p w14:paraId="121008C4" w14:textId="77777777" w:rsidR="00A0269D" w:rsidRDefault="00000000"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 w14:paraId="0C2D0F23" w14:textId="77777777" w:rsidR="00A0269D" w:rsidRDefault="00000000">
      <w:pPr>
        <w:keepNext/>
        <w:spacing w:before="100" w:after="20"/>
      </w:pPr>
      <w:r>
        <w:rPr>
          <w:b/>
          <w:color w:val="1C1917"/>
          <w:sz w:val="20"/>
        </w:rPr>
        <w:t>Product Manager — External Portal &amp; Internal Systems  |  WorkSafeBC</w:t>
      </w:r>
      <w:r>
        <w:rPr>
          <w:color w:val="78716C"/>
          <w:sz w:val="18"/>
        </w:rPr>
        <w:t xml:space="preserve">    Apr 2024 – Present</w:t>
      </w:r>
    </w:p>
    <w:p w14:paraId="37AA7394" w14:textId="77777777" w:rsidR="00A0269D" w:rsidRDefault="00000000">
      <w:pPr>
        <w:keepNext/>
        <w:spacing w:after="20"/>
      </w:pPr>
      <w:r>
        <w:rPr>
          <w:i/>
          <w:color w:val="4F46E5"/>
          <w:sz w:val="18"/>
        </w:rPr>
        <w:t>Client Portal Strategy &amp; Roadmaps</w:t>
      </w:r>
    </w:p>
    <w:p w14:paraId="2120C1A5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both the external client portal and the internal tools that make it run — billing, eligibility, claims, identity, and implementations — so client organizations can interact with benefits infrastructure while operations keep data and cost control intact.</w:t>
      </w:r>
    </w:p>
    <w:p w14:paraId="00B1985C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product strategy and roadmap for the external portal healthcare organizations use to interact with WorkSafeBC — invoices, referrals, and treatment requests — translating outcomes into sequenced delivery with engineering, operations, and program leadership.</w:t>
      </w:r>
    </w:p>
    <w:p w14:paraId="382EA47D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Digitized physio treatment-extension requests (replacing fax/phone) with tracking, error validation, and phased rollout across provider and case-manager groups — partnering with CMS product owners on an $80M physiotherapy spend workflow so care and billing keep moving.</w:t>
      </w:r>
    </w:p>
    <w:p w14:paraId="7069298C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the internal case-manager side of the same workflow so authorization decisions stay in human review rather than auto-approve — 79% of 139K historical extensions were always approved, which would have invited rubber-stamping an $80M spend if the product optimized for speed alone.</w:t>
      </w:r>
    </w:p>
    <w:p w14:paraId="0D6BD8DF" w14:textId="77777777" w:rsidR="00A0269D" w:rsidRDefault="00000000">
      <w:pPr>
        <w:keepNext/>
        <w:spacing w:after="20"/>
      </w:pPr>
      <w:r>
        <w:rPr>
          <w:i/>
          <w:color w:val="4F46E5"/>
          <w:sz w:val="18"/>
        </w:rPr>
        <w:t>Invoicing, Billing Rules &amp; Financial Workflows</w:t>
      </w:r>
    </w:p>
    <w:p w14:paraId="7D6BA3F9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the provider invoicing product organizations use to bill WorkSafeBC; encoded billing and claims rules so invalid services, claims, and line items fail in-product instead of in back-office cleanup.</w:t>
      </w:r>
    </w:p>
    <w:p w14:paraId="257E73CE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Rebuilt high-volume invoicing after 25 of 3,795 organizations generated 50% of remaining paper volume (~280K blocked line items): cut submission from 11 screens to 5, shifted paper from 56% to 19%, and grew portal share from 39% to 55% — securing $580K in executive funding and ~$50K in ELAN savings.</w:t>
      </w:r>
    </w:p>
    <w:p w14:paraId="7F2D727C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Exposed contract-eligibility through the provider invoice API so organizations only see services they are signed up for — an onboarding and eligibility control that reduced invalid submissions before they reached operations.</w:t>
      </w:r>
    </w:p>
    <w:p w14:paraId="0D8DF849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Instrumented PostHog funnels before launch and ran named-cohort dark / soft / hard launches with Healthcare Operations so existing 322K digital lines/year were not disrupted while a new high-volume segment activated — adoption risk was visible within days, not after a big-bang cutover.</w:t>
      </w:r>
    </w:p>
    <w:p w14:paraId="1A7AB81A" w14:textId="77777777" w:rsidR="00A0269D" w:rsidRDefault="00000000">
      <w:pPr>
        <w:keepNext/>
        <w:spacing w:after="20"/>
      </w:pPr>
      <w:r>
        <w:rPr>
          <w:i/>
          <w:color w:val="4F46E5"/>
          <w:sz w:val="18"/>
        </w:rPr>
        <w:t>Internal Systems — Implementations, Integrations &amp; Ops</w:t>
      </w:r>
    </w:p>
    <w:p w14:paraId="70F57E08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across product, engineering, operations, and finance-adjacent teams to define requirements, tradeoffs, and rollout strategies for mission-critical invoicing, identity, and eligibility workflows.</w:t>
      </w:r>
    </w:p>
    <w:p w14:paraId="14F0E8C7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a CIAM migration of 5,600 healthcare professionals across 500 organizations on a portal carrying 62,000+ annual referrals: multi-channel outreach, administrator-led rollout, and helpdesk enablement — 0 service disruptions; 100% of active accounts transitioned on deadline.</w:t>
      </w:r>
    </w:p>
    <w:p w14:paraId="791ED51C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0-to-1 product discovery for EMR-at-point-of-care submission so physicians could send clinical documentation from OSCAR rather than a separate portal; secured $80K Innovation Council funding and a roadmap covering ~70% of the provider ecosystem; coordinated 50 EMR vendors plus TELUS, ForgeRock, and government partners from requirements through go-live.</w:t>
      </w:r>
    </w:p>
    <w:p w14:paraId="2EE28391" w14:textId="77777777" w:rsidR="00A0269D" w:rsidRDefault="00000000">
      <w:pPr>
        <w:keepNext/>
        <w:spacing w:after="20"/>
      </w:pPr>
      <w:r>
        <w:rPr>
          <w:i/>
          <w:color w:val="4F46E5"/>
          <w:sz w:val="18"/>
        </w:rPr>
        <w:lastRenderedPageBreak/>
        <w:t>Zero-to-One &amp; AI-Enabled Products</w:t>
      </w:r>
    </w:p>
    <w:p w14:paraId="42DE16D6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Referral Radar, an AI-assisted next-best-referral product using LLM agents and explainable recommendations so case managers could surface program eligibility buried across 20–75 claim documents — 2nd place at WorkSafeBC InnoFest 2025.</w:t>
      </w:r>
    </w:p>
    <w:p w14:paraId="5D1EDC51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Unblocked the sprint when production claim data was unavailable by building a synthetic-data path validated with case managers — keeping humans as the decision-makers and AI as the retrieval layer.</w:t>
      </w:r>
    </w:p>
    <w:p w14:paraId="03F701B2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Used AI daily (Lovable, GitHub Copilot) to prototype workflows, validate concepts with users, and compress discovery-to-engineering timelines before development investment.</w:t>
      </w:r>
    </w:p>
    <w:p w14:paraId="3608BD37" w14:textId="77777777" w:rsidR="00A0269D" w:rsidRDefault="00000000"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color w:val="78716C"/>
          <w:sz w:val="18"/>
        </w:rPr>
        <w:t xml:space="preserve">    Oct 2021 – Apr 2024</w:t>
      </w:r>
    </w:p>
    <w:p w14:paraId="084FBFA0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internal data products (membership, churn, and engagement dashboards plus an RFM model) tracking 11.7% average annual churn — used by operations and leadership to prioritize retention (78% of high-risk customers retained) and protect recurring revenue.</w:t>
      </w:r>
    </w:p>
    <w:p w14:paraId="76770C07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remote inspections platform used by field operations — contextual research, workflow mapping, usability testing, and prototyping before development investment.</w:t>
      </w:r>
    </w:p>
    <w:p w14:paraId="50155D81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engineering, field inspectors, designers, and operations leaders to translate operational pain points into product requirements, roadmap priorities, and implementation plans.</w:t>
      </w:r>
    </w:p>
    <w:p w14:paraId="5EB10C88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NLP-powered email classification to automate routing and triage of incoming operational requests, reducing manual inbox processing burden.</w:t>
      </w:r>
    </w:p>
    <w:p w14:paraId="493AA21C" w14:textId="77777777" w:rsidR="00A0269D" w:rsidRDefault="00000000"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color w:val="78716C"/>
          <w:sz w:val="18"/>
        </w:rPr>
        <w:t xml:space="preserve">    Sep 2020 – Oct 2021</w:t>
      </w:r>
    </w:p>
    <w:p w14:paraId="6969EACE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Developed product and market strategies for nonprofit and clean energy organizations through customer research, market analysis, and strategic planning; designed a data-driven acquisition strategy for Open Primaries that reduced website bounce rate by 37% while doubling subscriptions.</w:t>
      </w:r>
    </w:p>
    <w:p w14:paraId="1F61CA7D" w14:textId="77777777" w:rsidR="00A0269D" w:rsidRDefault="00000000"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color w:val="78716C"/>
          <w:sz w:val="18"/>
        </w:rPr>
        <w:t xml:space="preserve">    May 2018 – Jul 2019</w:t>
      </w:r>
    </w:p>
    <w:p w14:paraId="05A1D53C" w14:textId="77777777" w:rsidR="00A0269D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analytics-driven growth strategies for 75+ client websites, increasing organic performance by approximately 150%, and a forecasting tool predicting SEO performance with approximately 85% accuracy.</w:t>
      </w:r>
    </w:p>
    <w:p w14:paraId="2C7E1EA3" w14:textId="77777777" w:rsidR="00A0269D" w:rsidRDefault="00A0269D">
      <w:pPr>
        <w:pBdr>
          <w:bottom w:val="single" w:sz="6" w:space="1" w:color="6D28D9"/>
        </w:pBdr>
        <w:spacing w:before="40" w:after="40"/>
      </w:pPr>
    </w:p>
    <w:p w14:paraId="7D6A23C2" w14:textId="77777777" w:rsidR="00A0269D" w:rsidRDefault="00000000"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 w14:paraId="6BEAD3CB" w14:textId="77777777" w:rsidR="00A0269D" w:rsidRDefault="00000000"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color w:val="78716C"/>
          <w:sz w:val="18"/>
        </w:rPr>
        <w:t xml:space="preserve">    </w:t>
      </w:r>
    </w:p>
    <w:p w14:paraId="2ACBF893" w14:textId="77777777" w:rsidR="00A0269D" w:rsidRDefault="00000000">
      <w:pPr>
        <w:spacing w:before="40" w:after="40"/>
      </w:pPr>
      <w:r>
        <w:rPr>
          <w:color w:val="78716C"/>
          <w:sz w:val="18"/>
        </w:rPr>
        <w:t>Python  •  SQL  •  Machine Learning  •  Optimization  •  Product Analytics</w:t>
      </w:r>
    </w:p>
    <w:p w14:paraId="6E0BF38B" w14:textId="77777777" w:rsidR="00A0269D" w:rsidRDefault="00000000"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color w:val="78716C"/>
          <w:sz w:val="18"/>
        </w:rPr>
        <w:t xml:space="preserve">    </w:t>
      </w:r>
    </w:p>
    <w:p w14:paraId="5B8B1B06" w14:textId="77777777" w:rsidR="00A0269D" w:rsidRDefault="00A0269D">
      <w:pPr>
        <w:pBdr>
          <w:bottom w:val="single" w:sz="6" w:space="1" w:color="6D28D9"/>
        </w:pBdr>
        <w:spacing w:before="40" w:after="40"/>
      </w:pPr>
    </w:p>
    <w:p w14:paraId="02989504" w14:textId="77777777" w:rsidR="00A0269D" w:rsidRDefault="00000000"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 w14:paraId="44EFA00E" w14:textId="3C65E3E3" w:rsidR="00A0269D" w:rsidRDefault="00000000" w:rsidP="00F6703F">
      <w:pPr>
        <w:keepNext/>
        <w:spacing w:after="20"/>
      </w:pPr>
      <w:r>
        <w:rPr>
          <w:b/>
          <w:color w:val="1C1917"/>
          <w:sz w:val="19"/>
        </w:rPr>
        <w:t>Speaker — ProductCamp BC (2025)</w:t>
      </w:r>
      <w:r w:rsidR="00F6703F">
        <w:t xml:space="preserve"> </w:t>
      </w:r>
      <w:r>
        <w:rPr>
          <w:i/>
          <w:color w:val="44403C"/>
          <w:sz w:val="19"/>
        </w:rPr>
        <w:t>"How Legacy Industries Can Adopt a Product Mindset to Improve Service Delivery."</w:t>
      </w:r>
    </w:p>
    <w:p w14:paraId="1141DA9A" w14:textId="72671A78" w:rsidR="00A0269D" w:rsidRDefault="00000000" w:rsidP="00F6703F">
      <w:pPr>
        <w:keepNext/>
        <w:spacing w:before="80" w:after="20"/>
      </w:pPr>
      <w:r>
        <w:rPr>
          <w:b/>
          <w:color w:val="1C1917"/>
          <w:sz w:val="19"/>
        </w:rPr>
        <w:t>Mentor — ProductBC</w:t>
      </w:r>
      <w:r w:rsidR="00F6703F">
        <w:t xml:space="preserve"> </w:t>
      </w:r>
      <w:r>
        <w:rPr>
          <w:color w:val="44403C"/>
          <w:sz w:val="19"/>
        </w:rPr>
        <w:t>Mentor aspiring Product Managers in product discovery, strategy, and career development.</w:t>
      </w:r>
    </w:p>
    <w:p w14:paraId="266BED96" w14:textId="77777777" w:rsidR="00A0269D" w:rsidRDefault="00A0269D">
      <w:pPr>
        <w:pBdr>
          <w:bottom w:val="single" w:sz="6" w:space="1" w:color="6D28D9"/>
        </w:pBdr>
        <w:spacing w:before="40" w:after="40"/>
      </w:pPr>
    </w:p>
    <w:p w14:paraId="15864A58" w14:textId="77777777" w:rsidR="00A0269D" w:rsidRDefault="00000000"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 w14:paraId="5BDEC3F2" w14:textId="77777777" w:rsidR="00A0269D" w:rsidRDefault="00000000"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Product Roadmaps  •  B2B Client Portals  •  0-to-1 Products  •  Change Management  •  Digital Adoption  •  Stakeholder Alignment  •  Executive Influence</w:t>
      </w:r>
    </w:p>
    <w:p w14:paraId="0C0FFAAD" w14:textId="77777777" w:rsidR="00A0269D" w:rsidRDefault="00000000">
      <w:pPr>
        <w:spacing w:before="40" w:after="40"/>
      </w:pPr>
      <w:r>
        <w:rPr>
          <w:b/>
          <w:color w:val="5B21B6"/>
          <w:sz w:val="18"/>
        </w:rPr>
        <w:t xml:space="preserve">Financial &amp; Data Systems:  </w:t>
      </w:r>
      <w:r>
        <w:rPr>
          <w:color w:val="44403C"/>
          <w:sz w:val="18"/>
        </w:rPr>
        <w:t>Invoicing  •  Billing Rules  •  Claims Rules  •  Contract Eligibility  •  Data Products  •  Revenue Analytics  •  Membership / Churn Dashboards  •  RFM Segmentation  •  PostHog</w:t>
      </w:r>
    </w:p>
    <w:p w14:paraId="5C107791" w14:textId="77777777" w:rsidR="00A0269D" w:rsidRDefault="00000000">
      <w:pPr>
        <w:spacing w:before="40" w:after="40"/>
      </w:pPr>
      <w:r>
        <w:rPr>
          <w:b/>
          <w:color w:val="5B21B6"/>
          <w:sz w:val="18"/>
        </w:rPr>
        <w:t xml:space="preserve">Healthcare B2B:  </w:t>
      </w:r>
      <w:r>
        <w:rPr>
          <w:color w:val="44403C"/>
          <w:sz w:val="18"/>
        </w:rPr>
        <w:t>Client Portals  •  External + Internal Systems  •  Internal Ops Tools  •  Implementations  •  Integrations  •  Healthcare Operations  •  Regulated Healthcare</w:t>
      </w:r>
    </w:p>
    <w:p w14:paraId="7EC7E2C5" w14:textId="77777777" w:rsidR="00A0269D" w:rsidRDefault="00000000"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REST APIs  •  EMR/EHR Integrations  •  CIAM/IAM  •  Multi-Vendor Delivery  •  SQL  •  Python  •  Azure  •  GitHub Copilot  •  Lovable</w:t>
      </w:r>
    </w:p>
    <w:p w14:paraId="55538B63" w14:textId="77777777" w:rsidR="00A0269D" w:rsidRDefault="00000000"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Journey Mapping  •  User Interviews  •  Workflow Analysis  •  Usability Testing  •  A/B Testing  •  Prototyping  •  Figma</w:t>
      </w:r>
    </w:p>
    <w:p w14:paraId="01173D7E" w14:textId="77777777" w:rsidR="00A0269D" w:rsidRDefault="00000000">
      <w:pPr>
        <w:spacing w:before="40" w:after="40"/>
      </w:pPr>
      <w:r>
        <w:rPr>
          <w:b/>
          <w:color w:val="5B21B6"/>
          <w:sz w:val="18"/>
        </w:rPr>
        <w:t xml:space="preserve">AI:  </w:t>
      </w:r>
      <w:r>
        <w:rPr>
          <w:color w:val="44403C"/>
          <w:sz w:val="18"/>
        </w:rPr>
        <w:t>Generative AI  •  LLM Applications  •  NLP  •  Intelligent Task Routing  •  AI-assisted Prototyping</w:t>
      </w:r>
    </w:p>
    <w:sectPr w:rsidR="00A0269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947663">
    <w:abstractNumId w:val="8"/>
  </w:num>
  <w:num w:numId="2" w16cid:durableId="362904147">
    <w:abstractNumId w:val="6"/>
  </w:num>
  <w:num w:numId="3" w16cid:durableId="39747059">
    <w:abstractNumId w:val="5"/>
  </w:num>
  <w:num w:numId="4" w16cid:durableId="1668945158">
    <w:abstractNumId w:val="4"/>
  </w:num>
  <w:num w:numId="5" w16cid:durableId="1945263314">
    <w:abstractNumId w:val="7"/>
  </w:num>
  <w:num w:numId="6" w16cid:durableId="413674959">
    <w:abstractNumId w:val="3"/>
  </w:num>
  <w:num w:numId="7" w16cid:durableId="1141727517">
    <w:abstractNumId w:val="2"/>
  </w:num>
  <w:num w:numId="8" w16cid:durableId="209659032">
    <w:abstractNumId w:val="1"/>
  </w:num>
  <w:num w:numId="9" w16cid:durableId="155989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9AA"/>
    <w:rsid w:val="00A0269D"/>
    <w:rsid w:val="00AA1D8D"/>
    <w:rsid w:val="00B47730"/>
    <w:rsid w:val="00CB0664"/>
    <w:rsid w:val="00F670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BA824"/>
  <w14:defaultImageDpi w14:val="300"/>
  <w15:docId w15:val="{E4E111C5-4DE8-42CA-B366-5E9D3C0B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odani-portfolio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doda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hushdodan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ddodani@student.ubc.ca</cp:lastModifiedBy>
  <cp:revision>2</cp:revision>
  <dcterms:created xsi:type="dcterms:W3CDTF">2013-12-23T23:15:00Z</dcterms:created>
  <dcterms:modified xsi:type="dcterms:W3CDTF">2026-09-14T23:06:00Z</dcterms:modified>
  <cp:category/>
</cp:coreProperties>
</file>