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AF9F6"/>
  <w:body>
    <w:p w14:paraId="090628FA" w14:textId="77777777" w:rsidR="0084436A" w:rsidRDefault="00000000">
      <w:pPr>
        <w:spacing w:after="40"/>
        <w:jc w:val="center"/>
      </w:pPr>
      <w:r>
        <w:rPr>
          <w:b/>
          <w:color w:val="1C1917"/>
          <w:sz w:val="36"/>
        </w:rPr>
        <w:t>KHUSHBOO DODANI</w:t>
      </w:r>
    </w:p>
    <w:p w14:paraId="4C5EBAEA" w14:textId="77777777" w:rsidR="0084436A" w:rsidRDefault="00000000">
      <w:pPr>
        <w:spacing w:after="40"/>
        <w:jc w:val="center"/>
      </w:pPr>
      <w:r>
        <w:rPr>
          <w:color w:val="78716C"/>
          <w:sz w:val="18"/>
        </w:rPr>
        <w:t xml:space="preserve">San Francisco Bay Area  |  khushdodani@gmail.com  |  </w:t>
      </w:r>
      <w:hyperlink r:id="rId6">
        <w:r>
          <w:rPr>
            <w:color w:val="78716C"/>
            <w:sz w:val="18"/>
            <w:szCs w:val="18"/>
            <w:u w:val="single"/>
          </w:rPr>
          <w:t>LinkedIn</w:t>
        </w:r>
      </w:hyperlink>
      <w:r>
        <w:rPr>
          <w:color w:val="78716C"/>
          <w:sz w:val="18"/>
        </w:rPr>
        <w:t xml:space="preserve">  |  </w:t>
      </w:r>
      <w:hyperlink r:id="rId7">
        <w:r>
          <w:rPr>
            <w:color w:val="78716C"/>
            <w:sz w:val="18"/>
            <w:szCs w:val="18"/>
            <w:u w:val="single"/>
          </w:rPr>
          <w:t>GitHub</w:t>
        </w:r>
      </w:hyperlink>
      <w:r>
        <w:rPr>
          <w:color w:val="78716C"/>
          <w:sz w:val="18"/>
        </w:rPr>
        <w:t xml:space="preserve">  |  </w:t>
      </w:r>
      <w:hyperlink r:id="rId8">
        <w:r>
          <w:rPr>
            <w:color w:val="78716C"/>
            <w:sz w:val="18"/>
            <w:szCs w:val="18"/>
            <w:u w:val="single"/>
          </w:rPr>
          <w:t>Portfolio</w:t>
        </w:r>
      </w:hyperlink>
    </w:p>
    <w:p w14:paraId="69357068" w14:textId="77777777" w:rsidR="0084436A" w:rsidRPr="00E2507D" w:rsidRDefault="00000000">
      <w:pPr>
        <w:spacing w:before="40" w:after="40"/>
        <w:jc w:val="center"/>
        <w:rPr>
          <w:b/>
        </w:rPr>
      </w:pPr>
      <w:r w:rsidRPr="00E2507D">
        <w:rPr>
          <w:b/>
          <w:color w:val="6D28D9"/>
          <w:sz w:val="22"/>
        </w:rPr>
        <w:t xml:space="preserve">PRODUCT </w:t>
      </w:r>
      <w:proofErr w:type="gramStart"/>
      <w:r w:rsidRPr="00E2507D">
        <w:rPr>
          <w:b/>
          <w:color w:val="6D28D9"/>
          <w:sz w:val="22"/>
        </w:rPr>
        <w:t>MANAGER  |</w:t>
      </w:r>
      <w:proofErr w:type="gramEnd"/>
      <w:r w:rsidRPr="00E2507D">
        <w:rPr>
          <w:b/>
          <w:color w:val="6D28D9"/>
          <w:sz w:val="22"/>
        </w:rPr>
        <w:t xml:space="preserve">  HEALTH PLATFORMS, AI &amp; DATA INTEGRATION</w:t>
      </w:r>
    </w:p>
    <w:p w14:paraId="422637F9" w14:textId="77777777" w:rsidR="0084436A" w:rsidRDefault="00000000">
      <w:pPr>
        <w:spacing w:before="20" w:after="80"/>
        <w:jc w:val="center"/>
      </w:pPr>
      <w:r>
        <w:rPr>
          <w:color w:val="5B21B6"/>
          <w:sz w:val="18"/>
        </w:rPr>
        <w:t xml:space="preserve">Data </w:t>
      </w:r>
      <w:proofErr w:type="gramStart"/>
      <w:r>
        <w:rPr>
          <w:color w:val="5B21B6"/>
          <w:sz w:val="18"/>
        </w:rPr>
        <w:t>Integration  •</w:t>
      </w:r>
      <w:proofErr w:type="gramEnd"/>
      <w:r>
        <w:rPr>
          <w:color w:val="5B21B6"/>
          <w:sz w:val="18"/>
        </w:rPr>
        <w:t xml:space="preserve">  Workflow </w:t>
      </w:r>
      <w:proofErr w:type="gramStart"/>
      <w:r>
        <w:rPr>
          <w:color w:val="5B21B6"/>
          <w:sz w:val="18"/>
        </w:rPr>
        <w:t>Launches  •</w:t>
      </w:r>
      <w:proofErr w:type="gramEnd"/>
      <w:r>
        <w:rPr>
          <w:color w:val="5B21B6"/>
          <w:sz w:val="18"/>
        </w:rPr>
        <w:t xml:space="preserve">  LLM / RAG </w:t>
      </w:r>
      <w:proofErr w:type="gramStart"/>
      <w:r>
        <w:rPr>
          <w:color w:val="5B21B6"/>
          <w:sz w:val="18"/>
        </w:rPr>
        <w:t>Prototyping  •</w:t>
      </w:r>
      <w:proofErr w:type="gramEnd"/>
      <w:r>
        <w:rPr>
          <w:color w:val="5B21B6"/>
          <w:sz w:val="18"/>
        </w:rPr>
        <w:t xml:space="preserve">  Product Analytics</w:t>
      </w:r>
    </w:p>
    <w:p w14:paraId="4F3E1E67" w14:textId="77777777" w:rsidR="0084436A" w:rsidRDefault="0084436A">
      <w:pPr>
        <w:pBdr>
          <w:bottom w:val="single" w:sz="6" w:space="1" w:color="6D28D9"/>
        </w:pBdr>
        <w:spacing w:before="40" w:after="40"/>
      </w:pPr>
    </w:p>
    <w:p w14:paraId="1D21322F" w14:textId="77777777" w:rsidR="0084436A" w:rsidRDefault="00000000">
      <w:pPr>
        <w:spacing w:before="80" w:after="80"/>
      </w:pPr>
      <w:r>
        <w:rPr>
          <w:color w:val="44403C"/>
        </w:rPr>
        <w:t>Product Manager with 5 years of experience building and improving technical products across healthcare and operational platforms, including product discovery, production launches, and AI prototyping. Led healthcare data integration discovery, shipped a high-volume invoicing workflow from 11 screens to 5, and developed an LLM/RAG prototype that surfaces evidence-backed recommendations with human oversight. Combines user research, product analytics, API integration strategy, and cross-functional execution to improve data quality, adoption, and reliability in regulated environments. Holds a Master of Business Analytics.</w:t>
      </w:r>
    </w:p>
    <w:p w14:paraId="1D8EE39B" w14:textId="77777777" w:rsidR="0084436A" w:rsidRDefault="0084436A">
      <w:pPr>
        <w:pBdr>
          <w:bottom w:val="single" w:sz="6" w:space="1" w:color="6D28D9"/>
        </w:pBdr>
        <w:spacing w:before="40" w:after="40"/>
      </w:pPr>
    </w:p>
    <w:p w14:paraId="0DBE836F" w14:textId="77777777" w:rsidR="0084436A" w:rsidRDefault="00000000">
      <w:pPr>
        <w:keepNext/>
        <w:spacing w:before="120" w:after="20"/>
      </w:pPr>
      <w:r>
        <w:rPr>
          <w:b/>
          <w:color w:val="6D28D9"/>
          <w:sz w:val="21"/>
        </w:rPr>
        <w:t>EXPERIENCE</w:t>
      </w:r>
    </w:p>
    <w:p w14:paraId="60C4EFCC" w14:textId="77777777" w:rsidR="0084436A" w:rsidRDefault="00000000">
      <w:pPr>
        <w:keepNext/>
        <w:spacing w:before="80"/>
      </w:pPr>
      <w:r>
        <w:rPr>
          <w:b/>
          <w:color w:val="1C1917"/>
          <w:sz w:val="20"/>
        </w:rPr>
        <w:t>Product Manager — Health Data &amp; Workflows  |  WorkSafeBC</w:t>
      </w:r>
      <w:r>
        <w:rPr>
          <w:color w:val="78716C"/>
          <w:sz w:val="18"/>
        </w:rPr>
        <w:t xml:space="preserve">    Apr 2024 – Present</w:t>
      </w:r>
    </w:p>
    <w:p w14:paraId="7E3040F8" w14:textId="77777777" w:rsidR="0084436A" w:rsidRDefault="00000000">
      <w:pPr>
        <w:keepNext/>
        <w:spacing w:after="20"/>
      </w:pPr>
      <w:r>
        <w:rPr>
          <w:i/>
          <w:color w:val="4F46E5"/>
          <w:sz w:val="18"/>
        </w:rPr>
        <w:t>Health data integration</w:t>
      </w:r>
    </w:p>
    <w:p w14:paraId="1C395E76" w14:textId="77777777" w:rsidR="0084436A" w:rsidRDefault="00000000" w:rsidP="00E2507D">
      <w:pPr>
        <w:pStyle w:val="ListBullet"/>
        <w:tabs>
          <w:tab w:val="clear" w:pos="360"/>
          <w:tab w:val="num" w:pos="284"/>
        </w:tabs>
        <w:ind w:left="432" w:hanging="216"/>
      </w:pPr>
      <w:r>
        <w:rPr>
          <w:color w:val="44403C"/>
        </w:rPr>
        <w:t xml:space="preserve">Led discovery so clinicians could submit clinical documentation from OSCAR EMR instead of a side portal, after interviews showed they would not leave their system of record. This was a validated POC (March 2025), not a production launch. Innovation Council approved $80K for this POC — a separate approval from the $580K invoicing rebuild. Roadmap covered ~70% of the </w:t>
      </w:r>
      <w:proofErr w:type="gramStart"/>
      <w:r>
        <w:rPr>
          <w:color w:val="44403C"/>
        </w:rPr>
        <w:t>provider</w:t>
      </w:r>
      <w:proofErr w:type="gramEnd"/>
      <w:r>
        <w:rPr>
          <w:color w:val="44403C"/>
        </w:rPr>
        <w:t xml:space="preserve"> ecosystem, starting with OSCAR before paid EMR vendors.</w:t>
      </w:r>
    </w:p>
    <w:p w14:paraId="5FE98BCA" w14:textId="77777777" w:rsidR="0084436A" w:rsidRDefault="00000000" w:rsidP="00E2507D">
      <w:pPr>
        <w:pStyle w:val="ListBullet"/>
        <w:tabs>
          <w:tab w:val="clear" w:pos="360"/>
          <w:tab w:val="num" w:pos="284"/>
        </w:tabs>
        <w:ind w:left="432" w:hanging="216"/>
      </w:pPr>
      <w:r>
        <w:rPr>
          <w:color w:val="44403C"/>
        </w:rPr>
        <w:t>Set the integration tradeoff with engineering and solution architects: a JSON payload so the POC could be validated in weeks, with HL7 FHIR documented as the later upgrade path. Engineering implemented the reusable gateway (Azure API Management rather than a connection per vendor) and OAuth 2.0 / mTLS on the data channel.</w:t>
      </w:r>
    </w:p>
    <w:p w14:paraId="1DA4A3B2" w14:textId="77777777" w:rsidR="0084436A" w:rsidRDefault="00000000">
      <w:pPr>
        <w:keepNext/>
        <w:spacing w:after="20"/>
      </w:pPr>
      <w:r>
        <w:rPr>
          <w:i/>
          <w:color w:val="4F46E5"/>
          <w:sz w:val="18"/>
        </w:rPr>
        <w:t>Invoice workflow — shipped</w:t>
      </w:r>
    </w:p>
    <w:p w14:paraId="502898F0" w14:textId="77777777" w:rsidR="0084436A" w:rsidRDefault="00000000" w:rsidP="00E2507D">
      <w:pPr>
        <w:pStyle w:val="ListBullet"/>
        <w:tabs>
          <w:tab w:val="clear" w:pos="360"/>
          <w:tab w:val="num" w:pos="426"/>
        </w:tabs>
        <w:ind w:left="432" w:hanging="216"/>
      </w:pPr>
      <w:r>
        <w:rPr>
          <w:color w:val="44403C"/>
        </w:rPr>
        <w:t>Found that 25 of 3,795 organizations drove 50% of remaining paper (~280K line items). The constraint was the product — one claim per submit, 11 screens, line caps — not training. Rebuilt high-volume submission with multi-claim entry and validation at submit.</w:t>
      </w:r>
    </w:p>
    <w:p w14:paraId="40800EA5" w14:textId="10055AEE" w:rsidR="0084436A" w:rsidRDefault="00000000" w:rsidP="00E2507D">
      <w:pPr>
        <w:pStyle w:val="ListBullet"/>
        <w:tabs>
          <w:tab w:val="clear" w:pos="360"/>
          <w:tab w:val="num" w:pos="426"/>
        </w:tabs>
        <w:ind w:left="432" w:hanging="216"/>
      </w:pPr>
      <w:r>
        <w:rPr>
          <w:color w:val="44403C"/>
        </w:rPr>
        <w:t>Redesigned high-volume invoice submission from 11 screens to 5. Mail and fax fell from 56% to 19% of invoice line items</w:t>
      </w:r>
      <w:r w:rsidR="00E2507D">
        <w:rPr>
          <w:color w:val="44403C"/>
        </w:rPr>
        <w:t xml:space="preserve">. </w:t>
      </w:r>
      <w:r>
        <w:rPr>
          <w:color w:val="44403C"/>
        </w:rPr>
        <w:t>Separately, online portal share rose from 39% to 55% as high-volume providers moved onto the new version. Executive sponsors approved $580K for this rebuild before development. Early paper-volume reduction saved about $50K in processing cost to date.</w:t>
      </w:r>
    </w:p>
    <w:p w14:paraId="0BBEB985" w14:textId="77777777" w:rsidR="0084436A" w:rsidRDefault="00000000" w:rsidP="00E2507D">
      <w:pPr>
        <w:pStyle w:val="ListBullet"/>
        <w:tabs>
          <w:tab w:val="clear" w:pos="360"/>
          <w:tab w:val="num" w:pos="426"/>
        </w:tabs>
        <w:ind w:left="432" w:hanging="216"/>
      </w:pPr>
      <w:r>
        <w:rPr>
          <w:color w:val="44403C"/>
        </w:rPr>
        <w:t>Instrumented PostHog before launch (conversion, drop-off, v1 vs v2, high-volume segment) and ran dark, soft, then full cohort launches so 322K existing digital lines per year stayed up while the new segment came on. The first month barely moved: providers missed the duplicate-line control. That was discoverability, not a missing feature, so the next iteration was onboarding rather than another build.</w:t>
      </w:r>
    </w:p>
    <w:p w14:paraId="2EDFD42C" w14:textId="77777777" w:rsidR="0084436A" w:rsidRDefault="00000000" w:rsidP="00E2507D">
      <w:pPr>
        <w:pStyle w:val="ListBullet"/>
        <w:tabs>
          <w:tab w:val="clear" w:pos="360"/>
          <w:tab w:val="num" w:pos="426"/>
        </w:tabs>
        <w:ind w:left="432" w:hanging="216"/>
      </w:pPr>
      <w:r>
        <w:rPr>
          <w:color w:val="44403C"/>
        </w:rPr>
        <w:t>On treatment requests, clinic administrators were the people submitting, while physiotherapists were the ones answering satisfaction surveys, so the scores mixed contract sentiment with the tool. Pointed discovery and form design at the person who submits.</w:t>
      </w:r>
    </w:p>
    <w:p w14:paraId="5BDB5FF1" w14:textId="77777777" w:rsidR="0084436A" w:rsidRDefault="00000000">
      <w:pPr>
        <w:keepNext/>
        <w:spacing w:after="20"/>
      </w:pPr>
      <w:r>
        <w:rPr>
          <w:i/>
          <w:color w:val="4F46E5"/>
          <w:sz w:val="18"/>
        </w:rPr>
        <w:t>Review, privacy, and access decisions</w:t>
      </w:r>
    </w:p>
    <w:p w14:paraId="04676136" w14:textId="3000E173" w:rsidR="00E2507D" w:rsidRPr="00E2507D" w:rsidRDefault="00E2507D" w:rsidP="00E2507D">
      <w:pPr>
        <w:pStyle w:val="ListBullet"/>
        <w:tabs>
          <w:tab w:val="clear" w:pos="360"/>
          <w:tab w:val="num" w:pos="567"/>
        </w:tabs>
        <w:ind w:left="432" w:hanging="216"/>
      </w:pPr>
      <w:r w:rsidRPr="00E2507D">
        <w:rPr>
          <w:color w:val="44403C"/>
        </w:rPr>
        <w:t xml:space="preserve">Rejected an auto-approval proposal for an $80M physiotherapy program because high historical approval rates did not establish that review controls were unnecessary. Shipped request tracking and </w:t>
      </w:r>
      <w:r w:rsidRPr="00E2507D">
        <w:rPr>
          <w:color w:val="44403C"/>
        </w:rPr>
        <w:t>validation and</w:t>
      </w:r>
      <w:r w:rsidRPr="00E2507D">
        <w:rPr>
          <w:color w:val="44403C"/>
        </w:rPr>
        <w:t xml:space="preserve"> partnered with the case-management PM to keep submission and review workflows aligned</w:t>
      </w:r>
      <w:r>
        <w:rPr>
          <w:color w:val="44403C"/>
        </w:rPr>
        <w:t>.</w:t>
      </w:r>
    </w:p>
    <w:p w14:paraId="3A3D0E78" w14:textId="656F9300" w:rsidR="0084436A" w:rsidRDefault="00000000" w:rsidP="00E2507D">
      <w:pPr>
        <w:pStyle w:val="ListBullet"/>
        <w:tabs>
          <w:tab w:val="clear" w:pos="360"/>
          <w:tab w:val="num" w:pos="567"/>
        </w:tabs>
        <w:ind w:left="432" w:hanging="216"/>
      </w:pPr>
      <w:r>
        <w:rPr>
          <w:color w:val="44403C"/>
        </w:rPr>
        <w:t>Led the identity migration for 5,600 healthcare providers across 500 organizations on a portal carrying 62K+ annual referrals. 0 service disruptions. 100% of active accounts had transitioned by the deadline. Emails were not on file, so the rollout went through organization admins over 28 days, using email, in-product banners, administrator-led and self-serve paths, and helpdesk enablement.</w:t>
      </w:r>
    </w:p>
    <w:p w14:paraId="5360E583" w14:textId="77777777" w:rsidR="0084436A" w:rsidRDefault="00000000">
      <w:pPr>
        <w:keepNext/>
        <w:spacing w:after="20"/>
      </w:pPr>
      <w:r>
        <w:rPr>
          <w:i/>
          <w:color w:val="4F46E5"/>
          <w:sz w:val="18"/>
        </w:rPr>
        <w:t>Generative AI — validated prototype</w:t>
      </w:r>
    </w:p>
    <w:p w14:paraId="4751BD36" w14:textId="77777777" w:rsidR="0084436A" w:rsidRDefault="00000000" w:rsidP="00E2507D">
      <w:pPr>
        <w:pStyle w:val="ListBullet"/>
        <w:tabs>
          <w:tab w:val="clear" w:pos="360"/>
        </w:tabs>
        <w:ind w:left="432" w:hanging="216"/>
      </w:pPr>
      <w:r>
        <w:rPr>
          <w:color w:val="44403C"/>
        </w:rPr>
        <w:t>Built Referral Radar, an LLM/RAG prototype for the case-review workflow. It surfaces evidence across 20–75 unstructured documents per case and recommends a next program pathway, including mental-health pathways, with a source trace a reviewer can check. Humans kept the decision. Production claim records were blocked, so case managers validated synthetic records instead of waiting on protected health data. 2nd of 36 at InnoFest 2025. Prototyped with Lovable, GitHub Copilot, and n8n before engineering investment. Validated prototype, not a production launch.</w:t>
      </w:r>
    </w:p>
    <w:p w14:paraId="25D4ACAA" w14:textId="67CBDEF6" w:rsidR="0084436A" w:rsidRDefault="00000000">
      <w:pPr>
        <w:keepNext/>
        <w:spacing w:before="80"/>
      </w:pPr>
      <w:r>
        <w:rPr>
          <w:b/>
          <w:color w:val="1C1917"/>
          <w:sz w:val="20"/>
        </w:rPr>
        <w:t xml:space="preserve">Product Manager (promoted from </w:t>
      </w:r>
      <w:r w:rsidR="00E2507D">
        <w:rPr>
          <w:b/>
          <w:color w:val="1C1917"/>
          <w:sz w:val="20"/>
        </w:rPr>
        <w:t>Product</w:t>
      </w:r>
      <w:r>
        <w:rPr>
          <w:b/>
          <w:color w:val="1C1917"/>
          <w:sz w:val="20"/>
        </w:rPr>
        <w:t xml:space="preserve"> </w:t>
      </w:r>
      <w:proofErr w:type="gramStart"/>
      <w:r>
        <w:rPr>
          <w:b/>
          <w:color w:val="1C1917"/>
          <w:sz w:val="20"/>
        </w:rPr>
        <w:t>Analyst)  |</w:t>
      </w:r>
      <w:proofErr w:type="gramEnd"/>
      <w:r>
        <w:rPr>
          <w:b/>
          <w:color w:val="1C1917"/>
          <w:sz w:val="20"/>
        </w:rPr>
        <w:t xml:space="preserve">  Technical Safety BC</w:t>
      </w:r>
      <w:r>
        <w:rPr>
          <w:color w:val="78716C"/>
          <w:sz w:val="18"/>
        </w:rPr>
        <w:t xml:space="preserve">    Oct 2021 – Apr 2024</w:t>
      </w:r>
    </w:p>
    <w:p w14:paraId="6AF0CCBF" w14:textId="77777777" w:rsidR="0084436A" w:rsidRDefault="00000000" w:rsidP="00E2507D">
      <w:pPr>
        <w:pStyle w:val="ListBullet"/>
        <w:tabs>
          <w:tab w:val="clear" w:pos="360"/>
          <w:tab w:val="num" w:pos="426"/>
        </w:tabs>
        <w:ind w:left="432" w:hanging="216"/>
      </w:pPr>
      <w:r>
        <w:rPr>
          <w:color w:val="44403C"/>
        </w:rPr>
        <w:t>Shipped NLP email classification into a live routing workflow so inbound requests left a shared inbox and landed in the right queue, cutting manual triage.</w:t>
      </w:r>
    </w:p>
    <w:p w14:paraId="32EBB72B" w14:textId="77777777" w:rsidR="0084436A" w:rsidRDefault="00000000" w:rsidP="00E2507D">
      <w:pPr>
        <w:pStyle w:val="ListBullet"/>
        <w:tabs>
          <w:tab w:val="clear" w:pos="360"/>
          <w:tab w:val="num" w:pos="426"/>
        </w:tabs>
        <w:ind w:left="432" w:hanging="216"/>
      </w:pPr>
      <w:r>
        <w:rPr>
          <w:color w:val="44403C"/>
        </w:rPr>
        <w:t>Built membership, churn, and engagement data products that identified 11.7% average annual churn. RFM segmentation plus targeted engagement against baseline outreach retained 78% of high-risk customers.</w:t>
      </w:r>
    </w:p>
    <w:p w14:paraId="17DEC929" w14:textId="77777777" w:rsidR="0084436A" w:rsidRDefault="00000000" w:rsidP="00E2507D">
      <w:pPr>
        <w:pStyle w:val="ListBullet"/>
        <w:tabs>
          <w:tab w:val="clear" w:pos="360"/>
          <w:tab w:val="num" w:pos="426"/>
        </w:tabs>
        <w:ind w:left="432" w:hanging="216"/>
      </w:pPr>
      <w:r>
        <w:rPr>
          <w:color w:val="44403C"/>
        </w:rPr>
        <w:t>Led discovery for a mobile inspection platform through customer interviews, workflow mapping, prototyping, and usability testing before engineering investment. Partnered with engineering, field users, and design on requirements and the roadmap.</w:t>
      </w:r>
    </w:p>
    <w:p w14:paraId="58D7E9E2" w14:textId="77777777" w:rsidR="0084436A" w:rsidRDefault="00000000">
      <w:pPr>
        <w:keepNext/>
        <w:spacing w:before="80"/>
      </w:pPr>
      <w:r>
        <w:rPr>
          <w:b/>
          <w:color w:val="1C1917"/>
          <w:sz w:val="20"/>
        </w:rPr>
        <w:lastRenderedPageBreak/>
        <w:t xml:space="preserve">Strategy </w:t>
      </w:r>
      <w:proofErr w:type="gramStart"/>
      <w:r>
        <w:rPr>
          <w:b/>
          <w:color w:val="1C1917"/>
          <w:sz w:val="20"/>
        </w:rPr>
        <w:t>Consultant  |</w:t>
      </w:r>
      <w:proofErr w:type="gramEnd"/>
      <w:r>
        <w:rPr>
          <w:b/>
          <w:color w:val="1C1917"/>
          <w:sz w:val="20"/>
        </w:rPr>
        <w:t xml:space="preserve">  180 Degrees Consulting — University of British Columbia</w:t>
      </w:r>
      <w:r>
        <w:rPr>
          <w:color w:val="78716C"/>
          <w:sz w:val="18"/>
        </w:rPr>
        <w:t xml:space="preserve">    Sep 2020 – Oct 2021</w:t>
      </w:r>
    </w:p>
    <w:p w14:paraId="6E346195" w14:textId="77777777" w:rsidR="0084436A" w:rsidRDefault="00000000">
      <w:pPr>
        <w:keepNext/>
        <w:spacing w:after="20"/>
      </w:pPr>
      <w:r>
        <w:rPr>
          <w:i/>
          <w:color w:val="4F46E5"/>
          <w:sz w:val="18"/>
        </w:rPr>
        <w:t>Consumer journeys</w:t>
      </w:r>
    </w:p>
    <w:p w14:paraId="6A909334" w14:textId="77777777" w:rsidR="0084436A" w:rsidRDefault="00000000" w:rsidP="00E2507D">
      <w:pPr>
        <w:pStyle w:val="ListBullet"/>
        <w:tabs>
          <w:tab w:val="clear" w:pos="360"/>
          <w:tab w:val="num" w:pos="426"/>
        </w:tabs>
        <w:ind w:left="432" w:hanging="216"/>
      </w:pPr>
      <w:r>
        <w:rPr>
          <w:color w:val="44403C"/>
        </w:rPr>
        <w:t>Designed the acquisition journey for Open Primaries, a public website: bounce rate fell 37% and subscriptions doubled. Also built product and market strategies for nonprofit and clean-energy clients from customer research.</w:t>
      </w:r>
    </w:p>
    <w:p w14:paraId="476C1851" w14:textId="77777777" w:rsidR="0084436A" w:rsidRDefault="00000000">
      <w:pPr>
        <w:keepNext/>
        <w:spacing w:before="80"/>
      </w:pPr>
      <w:r>
        <w:rPr>
          <w:b/>
          <w:color w:val="1C1917"/>
          <w:sz w:val="20"/>
        </w:rPr>
        <w:t>SEO Consultant — Growth &amp; Analytics  |  Convertus</w:t>
      </w:r>
      <w:r>
        <w:rPr>
          <w:color w:val="78716C"/>
          <w:sz w:val="18"/>
        </w:rPr>
        <w:t xml:space="preserve">    May 2018 – Jul 2019</w:t>
      </w:r>
    </w:p>
    <w:p w14:paraId="18EDC0E2" w14:textId="77777777" w:rsidR="0084436A" w:rsidRDefault="00000000">
      <w:pPr>
        <w:keepNext/>
        <w:spacing w:after="20"/>
      </w:pPr>
      <w:r>
        <w:rPr>
          <w:i/>
          <w:color w:val="4F46E5"/>
          <w:sz w:val="18"/>
        </w:rPr>
        <w:t>Consumer web analytics</w:t>
      </w:r>
    </w:p>
    <w:p w14:paraId="740D4F54" w14:textId="77777777" w:rsidR="0084436A" w:rsidRDefault="00000000" w:rsidP="00E2507D">
      <w:pPr>
        <w:pStyle w:val="ListBullet"/>
        <w:tabs>
          <w:tab w:val="clear" w:pos="360"/>
          <w:tab w:val="num" w:pos="426"/>
        </w:tabs>
        <w:ind w:left="432" w:hanging="216"/>
      </w:pPr>
      <w:r>
        <w:rPr>
          <w:color w:val="44403C"/>
        </w:rPr>
        <w:t xml:space="preserve">Used behavioral and search analytics to grow organic performance about 150% across 75+ consumer-facing </w:t>
      </w:r>
      <w:proofErr w:type="gramStart"/>
      <w:r>
        <w:rPr>
          <w:color w:val="44403C"/>
        </w:rPr>
        <w:t>websites, and</w:t>
      </w:r>
      <w:proofErr w:type="gramEnd"/>
      <w:r>
        <w:rPr>
          <w:color w:val="44403C"/>
        </w:rPr>
        <w:t xml:space="preserve"> built a forecasting model that predicted SEO performance with about 85% accuracy.</w:t>
      </w:r>
    </w:p>
    <w:p w14:paraId="3DA93051" w14:textId="77777777" w:rsidR="0084436A" w:rsidRDefault="0084436A">
      <w:pPr>
        <w:pBdr>
          <w:bottom w:val="single" w:sz="6" w:space="1" w:color="6D28D9"/>
        </w:pBdr>
        <w:spacing w:before="40" w:after="40"/>
      </w:pPr>
    </w:p>
    <w:p w14:paraId="1EAF755C" w14:textId="77777777" w:rsidR="0084436A" w:rsidRDefault="00000000">
      <w:pPr>
        <w:keepNext/>
        <w:spacing w:before="120" w:after="20"/>
      </w:pPr>
      <w:r>
        <w:rPr>
          <w:b/>
          <w:color w:val="6D28D9"/>
          <w:sz w:val="21"/>
        </w:rPr>
        <w:t>EDUCATION</w:t>
      </w:r>
    </w:p>
    <w:p w14:paraId="4C360D68" w14:textId="77777777" w:rsidR="0084436A" w:rsidRDefault="00000000">
      <w:pPr>
        <w:keepNext/>
        <w:spacing w:before="80"/>
      </w:pPr>
      <w:r>
        <w:rPr>
          <w:b/>
          <w:color w:val="1C1917"/>
          <w:sz w:val="20"/>
        </w:rPr>
        <w:t>Master of Business Analytics  |  University of British Columbia</w:t>
      </w:r>
      <w:r>
        <w:rPr>
          <w:color w:val="78716C"/>
          <w:sz w:val="18"/>
        </w:rPr>
        <w:t xml:space="preserve">    </w:t>
      </w:r>
    </w:p>
    <w:p w14:paraId="50AD3775" w14:textId="77777777" w:rsidR="0084436A" w:rsidRDefault="00000000">
      <w:pPr>
        <w:spacing w:before="40" w:after="40"/>
      </w:pPr>
      <w:r>
        <w:rPr>
          <w:color w:val="78716C"/>
          <w:sz w:val="18"/>
        </w:rPr>
        <w:t>Python  •  SQL  •  Machine Learning  •  Optimization  •  Product Analytics</w:t>
      </w:r>
    </w:p>
    <w:p w14:paraId="203553D4" w14:textId="77777777" w:rsidR="0084436A" w:rsidRDefault="00000000">
      <w:pPr>
        <w:keepNext/>
        <w:spacing w:before="80"/>
      </w:pPr>
      <w:r>
        <w:rPr>
          <w:b/>
          <w:color w:val="1C1917"/>
          <w:sz w:val="20"/>
        </w:rPr>
        <w:t>Bachelor of Business Administration (Marketing)  |  British Columbia Institute of Technology</w:t>
      </w:r>
      <w:r>
        <w:rPr>
          <w:color w:val="78716C"/>
          <w:sz w:val="18"/>
        </w:rPr>
        <w:t xml:space="preserve">    </w:t>
      </w:r>
    </w:p>
    <w:p w14:paraId="38DDBB11" w14:textId="77777777" w:rsidR="0084436A" w:rsidRDefault="00000000">
      <w:pPr>
        <w:spacing w:before="40" w:after="40"/>
      </w:pPr>
      <w:r>
        <w:rPr>
          <w:color w:val="78716C"/>
          <w:sz w:val="18"/>
        </w:rPr>
        <w:t>Consumer behavior  •  Segmentation  •  Communication strategy</w:t>
      </w:r>
    </w:p>
    <w:p w14:paraId="2D5E46DB" w14:textId="77777777" w:rsidR="0084436A" w:rsidRDefault="0084436A">
      <w:pPr>
        <w:pBdr>
          <w:bottom w:val="single" w:sz="6" w:space="1" w:color="6D28D9"/>
        </w:pBdr>
        <w:spacing w:before="40" w:after="40"/>
      </w:pPr>
    </w:p>
    <w:p w14:paraId="14D10492" w14:textId="77777777" w:rsidR="0084436A" w:rsidRDefault="00000000">
      <w:pPr>
        <w:keepNext/>
        <w:spacing w:before="120" w:after="20"/>
      </w:pPr>
      <w:r>
        <w:rPr>
          <w:b/>
          <w:color w:val="6D28D9"/>
          <w:sz w:val="21"/>
        </w:rPr>
        <w:t>LEADERSHIP</w:t>
      </w:r>
    </w:p>
    <w:p w14:paraId="31A913AE" w14:textId="77777777" w:rsidR="0084436A" w:rsidRDefault="00000000">
      <w:pPr>
        <w:keepNext/>
        <w:spacing w:after="20"/>
      </w:pPr>
      <w:r>
        <w:rPr>
          <w:b/>
          <w:color w:val="1C1917"/>
        </w:rPr>
        <w:t>Speaker — ProductCamp BC (2025)</w:t>
      </w:r>
    </w:p>
    <w:p w14:paraId="3E64CE5B" w14:textId="77777777" w:rsidR="0084436A" w:rsidRDefault="00000000">
      <w:pPr>
        <w:spacing w:after="40"/>
      </w:pPr>
      <w:r>
        <w:rPr>
          <w:i/>
          <w:color w:val="44403C"/>
        </w:rPr>
        <w:t>"How Legacy Industries Can Adopt a Product Mindset to Improve Service Delivery."</w:t>
      </w:r>
    </w:p>
    <w:p w14:paraId="3C4D5239" w14:textId="77777777" w:rsidR="0084436A" w:rsidRDefault="00000000">
      <w:pPr>
        <w:keepNext/>
        <w:spacing w:before="80" w:after="20"/>
      </w:pPr>
      <w:r>
        <w:rPr>
          <w:b/>
          <w:color w:val="1C1917"/>
        </w:rPr>
        <w:t>Mentor — ProductBC</w:t>
      </w:r>
    </w:p>
    <w:p w14:paraId="7D583463" w14:textId="77777777" w:rsidR="0084436A" w:rsidRDefault="00000000">
      <w:pPr>
        <w:spacing w:after="40"/>
      </w:pPr>
      <w:r>
        <w:rPr>
          <w:color w:val="44403C"/>
        </w:rPr>
        <w:t>Mentor aspiring Product Managers in product discovery, strategy, and career development.</w:t>
      </w:r>
    </w:p>
    <w:p w14:paraId="3BDEB872" w14:textId="77777777" w:rsidR="0084436A" w:rsidRDefault="0084436A">
      <w:pPr>
        <w:pBdr>
          <w:bottom w:val="single" w:sz="6" w:space="1" w:color="6D28D9"/>
        </w:pBdr>
        <w:spacing w:before="40" w:after="40"/>
      </w:pPr>
    </w:p>
    <w:p w14:paraId="6A56B844" w14:textId="77777777" w:rsidR="0084436A" w:rsidRDefault="00000000">
      <w:pPr>
        <w:keepNext/>
        <w:spacing w:before="120" w:after="20"/>
      </w:pPr>
      <w:r>
        <w:rPr>
          <w:b/>
          <w:color w:val="6D28D9"/>
          <w:sz w:val="21"/>
        </w:rPr>
        <w:t>SKILLS</w:t>
      </w:r>
    </w:p>
    <w:p w14:paraId="1BE7F427" w14:textId="77777777" w:rsidR="0084436A" w:rsidRDefault="00000000">
      <w:pPr>
        <w:spacing w:before="20" w:after="20"/>
      </w:pPr>
      <w:r>
        <w:rPr>
          <w:b/>
          <w:color w:val="5B21B6"/>
          <w:sz w:val="18"/>
        </w:rPr>
        <w:t xml:space="preserve">Product:  </w:t>
      </w:r>
      <w:r>
        <w:rPr>
          <w:color w:val="44403C"/>
          <w:sz w:val="18"/>
        </w:rPr>
        <w:t>Conception to Launch  •  0→1 / 1→n  •  Product Strategy  •  Roadmaps  •  Cross-functional Leadership  •  Prioritization  •  Staged Launches  •  Executive Funding</w:t>
      </w:r>
    </w:p>
    <w:p w14:paraId="2C8E41C7" w14:textId="77777777" w:rsidR="0084436A" w:rsidRDefault="00000000">
      <w:pPr>
        <w:spacing w:before="20" w:after="20"/>
      </w:pPr>
      <w:r>
        <w:rPr>
          <w:b/>
          <w:color w:val="5B21B6"/>
          <w:sz w:val="18"/>
        </w:rPr>
        <w:t xml:space="preserve">Health data:  </w:t>
      </w:r>
      <w:r>
        <w:rPr>
          <w:color w:val="44403C"/>
          <w:sz w:val="18"/>
        </w:rPr>
        <w:t>Health Data Integration  •  EMR / EHR  •  HL7 FHIR (upgrade path)  •  REST APIs  •  Azure API Management  •  OAuth 2.0 / mTLS  •  CIAM  •  Validation at Submit</w:t>
      </w:r>
    </w:p>
    <w:p w14:paraId="687E3F50" w14:textId="77777777" w:rsidR="0084436A" w:rsidRDefault="00000000">
      <w:pPr>
        <w:spacing w:before="20" w:after="20"/>
      </w:pPr>
      <w:r>
        <w:rPr>
          <w:b/>
          <w:color w:val="5B21B6"/>
          <w:sz w:val="18"/>
        </w:rPr>
        <w:t xml:space="preserve">AI:  </w:t>
      </w:r>
      <w:r>
        <w:rPr>
          <w:color w:val="44403C"/>
          <w:sz w:val="18"/>
        </w:rPr>
        <w:t>Generative AI in Workflows  •  LLM / RAG Interfaces  •  Evidence Traces  •  Human-in-the-Loop  •  NLP in a Live Workflow  •  GitHub Copilot  •  Lovable  •  n8n</w:t>
      </w:r>
    </w:p>
    <w:p w14:paraId="4E4FDFF7" w14:textId="77777777" w:rsidR="0084436A" w:rsidRDefault="00000000">
      <w:pPr>
        <w:spacing w:before="20" w:after="20"/>
      </w:pPr>
      <w:r>
        <w:rPr>
          <w:b/>
          <w:color w:val="5B21B6"/>
          <w:sz w:val="18"/>
        </w:rPr>
        <w:t xml:space="preserve">Decisions:  </w:t>
      </w:r>
      <w:r>
        <w:rPr>
          <w:color w:val="44403C"/>
          <w:sz w:val="18"/>
        </w:rPr>
        <w:t>Human Review Kept on Clinical Workflows  •  Privacy Constraints  •  Synthetic Data When Production Records Are Blocked  •  Identity &amp; Access</w:t>
      </w:r>
    </w:p>
    <w:p w14:paraId="694FE2E4" w14:textId="77777777" w:rsidR="0084436A" w:rsidRDefault="00000000">
      <w:pPr>
        <w:spacing w:before="20" w:after="20"/>
      </w:pPr>
      <w:r>
        <w:rPr>
          <w:b/>
          <w:color w:val="5B21B6"/>
          <w:sz w:val="18"/>
        </w:rPr>
        <w:t xml:space="preserve">Analytics:  </w:t>
      </w:r>
      <w:r>
        <w:rPr>
          <w:color w:val="44403C"/>
          <w:sz w:val="18"/>
        </w:rPr>
        <w:t>PostHog  •  Funnel Instrumentation  •  Cohort Analysis  •  Experimentation  •  SQL  •  Python  •  Segmentation  •  RFM</w:t>
      </w:r>
    </w:p>
    <w:p w14:paraId="38C02EB4" w14:textId="77777777" w:rsidR="0084436A" w:rsidRDefault="00000000">
      <w:pPr>
        <w:spacing w:before="20" w:after="20"/>
      </w:pPr>
      <w:r>
        <w:rPr>
          <w:b/>
          <w:color w:val="5B21B6"/>
          <w:sz w:val="18"/>
        </w:rPr>
        <w:t xml:space="preserve">Research:  </w:t>
      </w:r>
      <w:r>
        <w:rPr>
          <w:color w:val="44403C"/>
          <w:sz w:val="18"/>
        </w:rPr>
        <w:t>User Interviews  •  Usability Testing  •  Workflow Analysis  •  Data-Collection Design  •  Survey Design  •  Prototyping</w:t>
      </w:r>
    </w:p>
    <w:sectPr w:rsidR="0084436A" w:rsidSect="00034616">
      <w:pgSz w:w="12240" w:h="15840"/>
      <w:pgMar w:top="720" w:right="907" w:bottom="7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0798669">
    <w:abstractNumId w:val="8"/>
  </w:num>
  <w:num w:numId="2" w16cid:durableId="950818501">
    <w:abstractNumId w:val="6"/>
  </w:num>
  <w:num w:numId="3" w16cid:durableId="1673070235">
    <w:abstractNumId w:val="5"/>
  </w:num>
  <w:num w:numId="4" w16cid:durableId="39478715">
    <w:abstractNumId w:val="4"/>
  </w:num>
  <w:num w:numId="5" w16cid:durableId="1409427071">
    <w:abstractNumId w:val="7"/>
  </w:num>
  <w:num w:numId="6" w16cid:durableId="1227882688">
    <w:abstractNumId w:val="3"/>
  </w:num>
  <w:num w:numId="7" w16cid:durableId="486632191">
    <w:abstractNumId w:val="2"/>
  </w:num>
  <w:num w:numId="8" w16cid:durableId="1360156463">
    <w:abstractNumId w:val="1"/>
  </w:num>
  <w:num w:numId="9" w16cid:durableId="1482305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7CAC"/>
    <w:rsid w:val="0084436A"/>
    <w:rsid w:val="00AA1D8D"/>
    <w:rsid w:val="00B47730"/>
    <w:rsid w:val="00CB0664"/>
    <w:rsid w:val="00E250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B097FF"/>
  <w14:defaultImageDpi w14:val="300"/>
  <w15:docId w15:val="{4053CFCB-C457-461A-9130-880E2A5BA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hAnsi="Calibri"/>
      <w:sz w:val="19"/>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dodani-portfolio.vercel.app" TargetMode="External"/><Relationship Id="rId3" Type="http://schemas.openxmlformats.org/officeDocument/2006/relationships/styles" Target="styles.xml"/><Relationship Id="rId7" Type="http://schemas.openxmlformats.org/officeDocument/2006/relationships/hyperlink" Target="https://github.com/kdodan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khushdodani"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1100</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ddodani@student.ubc.ca</cp:lastModifiedBy>
  <cp:revision>3</cp:revision>
  <cp:lastPrinted>2026-10-21T17:53:00Z</cp:lastPrinted>
  <dcterms:created xsi:type="dcterms:W3CDTF">2013-12-23T23:15:00Z</dcterms:created>
  <dcterms:modified xsi:type="dcterms:W3CDTF">2026-10-21T17:53:00Z</dcterms:modified>
  <cp:category/>
</cp:coreProperties>
</file>