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40"/>
        <w:jc w:val="center"/>
      </w:pPr>
      <w:r>
        <w:rPr>
          <w:b/>
          <w:color w:val="1C1917"/>
          <w:sz w:val="36"/>
        </w:rPr>
        <w:t>KHUSHBOO DODANI</w:t>
      </w:r>
    </w:p>
    <w:p>
      <w:pPr>
        <w:spacing w:before="0" w:after="40"/>
        <w:jc w:val="center"/>
      </w:pPr>
      <w:r>
        <w:rPr>
          <w:color w:val="78716C"/>
          <w:sz w:val="18"/>
        </w:rPr>
        <w:t xml:space="preserve">San Francisco Bay Area  |  khushdodani@gmail.com  |  </w:t>
      </w:r>
      <w:hyperlink r:id="rId9">
        <w:r>
          <w:rPr>
            <w:color w:val="78716C"/>
            <w:sz w:val="18"/>
            <w:szCs w:val="18"/>
            <w:u w:val="single"/>
          </w:rPr>
          <w:t xml:space="preserve">LinkedIn</w:t>
        </w:r>
      </w:hyperlink>
      <w:r>
        <w:rPr>
          <w:color w:val="78716C"/>
          <w:sz w:val="18"/>
        </w:rPr>
        <w:t xml:space="preserve">  |  </w:t>
      </w:r>
      <w:hyperlink r:id="rId10">
        <w:r>
          <w:rPr>
            <w:color w:val="78716C"/>
            <w:sz w:val="18"/>
            <w:szCs w:val="18"/>
            <w:u w:val="single"/>
          </w:rPr>
          <w:t xml:space="preserve">GitHub</w:t>
        </w:r>
      </w:hyperlink>
      <w:r>
        <w:rPr>
          <w:color w:val="78716C"/>
          <w:sz w:val="18"/>
        </w:rPr>
        <w:t xml:space="preserve">  |  </w:t>
      </w:r>
      <w:hyperlink r:id="rId11">
        <w:r>
          <w:rPr>
            <w:color w:val="78716C"/>
            <w:sz w:val="18"/>
            <w:szCs w:val="18"/>
            <w:u w:val="single"/>
          </w:rPr>
          <w:t xml:space="preserve">Portfolio</w:t>
        </w:r>
      </w:hyperlink>
    </w:p>
    <w:p>
      <w:pPr>
        <w:spacing w:before="40" w:after="40"/>
        <w:jc w:val="center"/>
      </w:pPr>
      <w:r>
        <w:rPr>
          <w:b/>
          <w:color w:val="6D28D9"/>
          <w:sz w:val="24"/>
        </w:rPr>
        <w:t>PRODUCT MANAGER — PAYMENTS &amp; BILLING EXPERIENCE</w:t>
      </w:r>
    </w:p>
    <w:p>
      <w:pPr>
        <w:spacing w:before="20" w:after="80"/>
        <w:jc w:val="center"/>
      </w:pPr>
      <w:r>
        <w:rPr>
          <w:color w:val="5B21B6"/>
          <w:sz w:val="18"/>
        </w:rPr>
        <w:t>Payments, Billing &amp; Insurance Experience  •  Cost Transparency  •  Care Access &amp; Retention</w:t>
      </w:r>
    </w:p>
    <w:p>
      <w:pPr>
        <w:spacing w:before="40" w:after="40"/>
        <w:pBdr>
          <w:bottom w:val="single" w:sz="6" w:space="1" w:color="6D28D9"/>
        </w:pBdr>
      </w:pPr>
    </w:p>
    <w:p>
      <w:pPr>
        <w:spacing w:before="80" w:after="60"/>
      </w:pPr>
      <w:r>
        <w:rPr>
          <w:i w:val="0"/>
          <w:color w:val="44403C"/>
          <w:sz w:val="19"/>
        </w:rPr>
        <w:t>Product Manager with 5 years owning healthcare payments, billing, and eligibility products at a payer. Built products that increase patient confidence to start and continue care by making cost, coverage, and eligibility clear before treatment begins. Turns insurance complexity into billing UX people can act on: contracted services visible before care, invalid claims stopped at submit (−40%), treatment that does not stall because a bill was wrong.</w:t>
      </w:r>
    </w:p>
    <w:p>
      <w:pPr>
        <w:spacing w:before="0" w:after="80"/>
      </w:pPr>
      <w:r>
        <w:rPr>
          <w:i w:val="0"/>
          <w:color w:val="44403C"/>
          <w:sz w:val="19"/>
        </w:rPr>
        <w:t>Owned product strategy — not just delivery — for WorkSafeBC, British Columbia’s workers’ compensation insurer: a three-sided system of patients/injured workers, contracted providers, and the payer. Defined roadmaps across payments, billing, eligibility, authorization, identity, and EMR integrations; aligned engineering, design, operations, and executives; secured $1.2M+ in funding. Mental health is already in the work: Referral Radar surfaced eligibility for contracted programs — including mental-health / counselling pathways — so referrals were not delayed or left uncovered. Clinical partners: physiotherapists, physicians, clinic office admins, case managers, Healthcare Programs (~70 contracted services). Master of Business Analytics; BBA in Marketing.</w:t>
      </w:r>
    </w:p>
    <w:p>
      <w:pPr>
        <w:spacing w:before="40" w:after="40"/>
        <w:pBdr>
          <w:bottom w:val="single" w:sz="6" w:space="1" w:color="6D28D9"/>
        </w:pBdr>
      </w:pPr>
    </w:p>
    <w:p>
      <w:pPr>
        <w:keepNext/>
        <w:spacing w:before="120" w:after="40"/>
      </w:pPr>
      <w:r>
        <w:rPr>
          <w:b/>
          <w:color w:val="6D28D9"/>
          <w:sz w:val="21"/>
        </w:rPr>
        <w:t>EXPERIENCE</w:t>
      </w:r>
    </w:p>
    <w:p>
      <w:pPr>
        <w:keepNext/>
        <w:spacing w:before="100" w:after="20"/>
      </w:pPr>
      <w:r>
        <w:rPr>
          <w:b/>
          <w:color w:val="1C1917"/>
          <w:sz w:val="20"/>
        </w:rPr>
        <w:t>Product Manager — Payments, Billing &amp; Eligibility  |  WorkSafeBC</w:t>
      </w:r>
      <w:r>
        <w:rPr>
          <w:b w:val="0"/>
          <w:color w:val="78716C"/>
          <w:sz w:val="18"/>
        </w:rPr>
        <w:t xml:space="preserve">    Apr 2024 – Present</w:t>
      </w:r>
    </w:p>
    <w:p>
      <w:pPr>
        <w:keepNext/>
        <w:spacing w:before="0" w:after="20"/>
      </w:pPr>
      <w:r>
        <w:rPr>
          <w:b w:val="0"/>
          <w:i/>
          <w:color w:val="4F46E5"/>
          <w:sz w:val="18"/>
        </w:rPr>
        <w:t>Product strategy &amp; org-level ownership</w:t>
      </w:r>
    </w:p>
    <w:p>
      <w:pPr>
        <w:pStyle w:val="ListBullet"/>
        <w:spacing w:before="10" w:after="10"/>
        <w:ind w:left="576" w:hanging="288"/>
      </w:pPr>
      <w:r>
        <w:rPr>
          <w:color w:val="44403C"/>
          <w:sz w:val="18"/>
        </w:rPr>
        <w:t>Owned end-to-end strategy and roadmap across payments, billing UX, eligibility, treatment authorization, identity, and EMR integrations — one surface spanning patients/injured workers, providers, and payer ops. Aligned engineering, design, Healthcare Operations, and executives on what to ship vs. what not to automate.</w:t>
      </w:r>
    </w:p>
    <w:p>
      <w:pPr>
        <w:pStyle w:val="ListBullet"/>
        <w:spacing w:before="10" w:after="10"/>
        <w:ind w:left="576" w:hanging="288"/>
      </w:pPr>
      <w:r>
        <w:rPr>
          <w:color w:val="44403C"/>
          <w:sz w:val="18"/>
        </w:rPr>
        <w:t>Influenced org investment: built the business cases that secured $1.2M+ for billing/payments, identity, and EMR APIs — including $580K to scale the payments rebuild. Defined success as first-pass yield, cost predictability, and whether patients could start and continue care — not feature output.</w:t>
      </w:r>
    </w:p>
    <w:p>
      <w:pPr>
        <w:keepNext/>
        <w:spacing w:before="60" w:after="20"/>
      </w:pPr>
      <w:r>
        <w:rPr>
          <w:b w:val="0"/>
          <w:i/>
          <w:color w:val="4F46E5"/>
          <w:sz w:val="18"/>
        </w:rPr>
        <w:t>Payments experience, cost transparency &amp; billing UX</w:t>
      </w:r>
    </w:p>
    <w:p>
      <w:pPr>
        <w:pStyle w:val="ListBullet"/>
        <w:spacing w:before="10" w:after="10"/>
        <w:ind w:left="576" w:hanging="288"/>
      </w:pPr>
      <w:r>
        <w:rPr>
          <w:color w:val="44403C"/>
          <w:sz w:val="18"/>
        </w:rPr>
        <w:t>Owned end-to-end billing and payments experience for providers and internal operations, including pricing, claims validation, and eligibility enforcement — fee schedules, contracted rates, service codes, and what could be billed before care started.</w:t>
      </w:r>
    </w:p>
    <w:p>
      <w:pPr>
        <w:pStyle w:val="ListBullet"/>
        <w:spacing w:before="10" w:after="10"/>
        <w:ind w:left="576" w:hanging="288"/>
      </w:pPr>
      <w:r>
        <w:rPr>
          <w:color w:val="44403C"/>
          <w:sz w:val="18"/>
        </w:rPr>
        <w:t>For certain programs, invoicing happens before treatment is delivered. If a claim was wrong or not covered and providers could still invoice, patients absorbed the failure as errors and delayed care — the same blocker as unclear deductibles, coverage changes, or surprise cost after a first session. Product job: financial clarity before care, not cleanup after.</w:t>
      </w:r>
    </w:p>
    <w:p>
      <w:pPr>
        <w:pStyle w:val="ListBullet"/>
        <w:spacing w:before="10" w:after="10"/>
        <w:ind w:left="576" w:hanging="288"/>
      </w:pPr>
      <w:r>
        <w:rPr>
          <w:color w:val="44403C"/>
          <w:sz w:val="18"/>
        </w:rPr>
        <w:t>Exposed contract eligibility on the invoice API so orgs only see (and can bill) contracted services. Shipped in-product validation against fee schedules, rates, and service codes. Invalid submissions −40% (first-pass yield) — reducing downstream billing errors and improving cost predictability for patients before care.</w:t>
      </w:r>
    </w:p>
    <w:p>
      <w:pPr>
        <w:keepNext/>
        <w:spacing w:before="60" w:after="20"/>
      </w:pPr>
      <w:r>
        <w:rPr>
          <w:b w:val="0"/>
          <w:i/>
          <w:color w:val="4F46E5"/>
          <w:sz w:val="18"/>
        </w:rPr>
        <w:t>Friction, confidence to start care, and retention</w:t>
      </w:r>
    </w:p>
    <w:p>
      <w:pPr>
        <w:pStyle w:val="ListBullet"/>
        <w:spacing w:before="10" w:after="10"/>
        <w:ind w:left="576" w:hanging="288"/>
      </w:pPr>
      <w:r>
        <w:rPr>
          <w:color w:val="44403C"/>
          <w:sz w:val="18"/>
        </w:rPr>
        <w:t>Rebuilt a high-friction payments/billing journey (11 screens → 5, multi-claim) so providers could submit with confidence and patients were not stuck behind paper. Analyzed 3.7M invoice line items; 25 of 3,795 orgs drove 50% of remaining paper (~280K blocked lines). Paper 56% → 19%; portal 39% → 55%; digital adoption to 60% in six months.</w:t>
      </w:r>
    </w:p>
    <w:p>
      <w:pPr>
        <w:pStyle w:val="ListBullet"/>
        <w:spacing w:before="10" w:after="10"/>
        <w:ind w:left="576" w:hanging="288"/>
      </w:pPr>
      <w:r>
        <w:rPr>
          <w:color w:val="44403C"/>
          <w:sz w:val="18"/>
        </w:rPr>
        <w:t>Partnered with Healthcare Operations and support on billing/payments tickets. Clearer eligibility and fewer dead-end submits cut support calls 30% and lifted clinician NPS +25 — confidence to complete the financial path so care could start. Instrumented PostHog (submit, error, drop-off) and ran dark → soft → hard launches on 322K digital lines/year; treated onboarding as product when first-month adoption stalled.</w:t>
      </w:r>
    </w:p>
    <w:p>
      <w:pPr>
        <w:keepNext/>
        <w:spacing w:before="60" w:after="20"/>
      </w:pPr>
      <w:r>
        <w:rPr>
          <w:b w:val="0"/>
          <w:i/>
          <w:color w:val="4F46E5"/>
          <w:sz w:val="18"/>
        </w:rPr>
        <w:t>Continuing care — authorization, coverage, and treatment that does not stall</w:t>
      </w:r>
    </w:p>
    <w:p>
      <w:pPr>
        <w:pStyle w:val="ListBullet"/>
        <w:spacing w:before="10" w:after="10"/>
        <w:ind w:left="576" w:hanging="288"/>
      </w:pPr>
      <w:r>
        <w:rPr>
          <w:color w:val="44403C"/>
          <w:sz w:val="18"/>
        </w:rPr>
        <w:t>Digitized physiotherapy treatment-extension requests (replacing fax/phone) on an $80M program so injured workers keep treatment moving. Users: physiotherapists, clinic office admins (who submit), and case managers (who approve/deny/revise). Segmented by workflow — admins submit, clinicians treat — not org type.</w:t>
      </w:r>
    </w:p>
    <w:p>
      <w:pPr>
        <w:pStyle w:val="ListBullet"/>
        <w:spacing w:before="10" w:after="10"/>
        <w:ind w:left="576" w:hanging="288"/>
      </w:pPr>
      <w:r>
        <w:rPr>
          <w:color w:val="44403C"/>
          <w:sz w:val="18"/>
        </w:rPr>
        <w:t>Analyzed 139K historical extensions. 79% were always approved — the tempting move was auto-approve. Rejected it: rubber-stamping would have weakened clinical review on the largest spend category. Shipped tracking, error validation, and decision rationale so case managers could actually adjudicate.</w:t>
      </w:r>
    </w:p>
    <w:p>
      <w:pPr>
        <w:keepNext/>
        <w:spacing w:before="60" w:after="20"/>
      </w:pPr>
      <w:r>
        <w:rPr>
          <w:b w:val="0"/>
          <w:i/>
          <w:color w:val="4F46E5"/>
          <w:sz w:val="18"/>
        </w:rPr>
        <w:t>Mental health program access — delayed referrals and coverage</w:t>
      </w:r>
    </w:p>
    <w:p>
      <w:pPr>
        <w:pStyle w:val="ListBullet"/>
        <w:spacing w:before="10" w:after="10"/>
        <w:ind w:left="576" w:hanging="288"/>
      </w:pPr>
      <w:r>
        <w:rPr>
          <w:color w:val="44403C"/>
          <w:sz w:val="18"/>
        </w:rPr>
        <w:t>Built Referral Radar (LLM/RAG) because case managers spent 90+ minutes on 20–75 documents per claim — intake notes, medical reports, counselling plans — and still missed program eligibility. Failure mode: delayed or uncovered referrals into mental-health / counselling pathways while recovery windows closed. AI surfaces eligibility with evidence traces; humans decide (rule inspectable, not a hidden score). 2nd of 36, InnoFest 2025.</w:t>
      </w:r>
    </w:p>
    <w:p>
      <w:pPr>
        <w:keepNext/>
        <w:spacing w:before="60" w:after="20"/>
      </w:pPr>
      <w:r>
        <w:rPr>
          <w:b w:val="0"/>
          <w:i/>
          <w:color w:val="4F46E5"/>
          <w:sz w:val="18"/>
        </w:rPr>
        <w:t>0-to-1 surfaces and the provider–payer–client system</w:t>
      </w:r>
    </w:p>
    <w:p>
      <w:pPr>
        <w:pStyle w:val="ListBullet"/>
        <w:spacing w:before="10" w:after="10"/>
        <w:ind w:left="576" w:hanging="288"/>
      </w:pPr>
      <w:r>
        <w:rPr>
          <w:color w:val="44403C"/>
          <w:sz w:val="18"/>
        </w:rPr>
        <w:t>Led 0-to-1 EMR discovery so physicians submit from OSCAR instead of a side portal ($80K funding; ~70% provider-ecosystem roadmap). Migrated 5,600 healthcare professionals / 500 orgs to modern identity on a portal with 62,000+ annual referrals — 0 downtime. Network: physiotherapists, physicians, imaging and hearing-aid clinics, office admins, case managers, counselling/mental-health eligibility on the claim.</w:t>
      </w:r>
    </w:p>
    <w:p>
      <w:pPr>
        <w:keepNext/>
        <w:spacing w:before="100" w:after="20"/>
      </w:pPr>
      <w:r>
        <w:rPr>
          <w:b/>
          <w:color w:val="1C1917"/>
          <w:sz w:val="20"/>
        </w:rPr>
        <w:t>Product Manager (promoted from Business Analyst)  |  Technical Safety BC</w:t>
      </w:r>
      <w:r>
        <w:rPr>
          <w:b w:val="0"/>
          <w:color w:val="78716C"/>
          <w:sz w:val="18"/>
        </w:rPr>
        <w:t xml:space="preserve">    Oct 2021 – Apr 2024</w:t>
      </w:r>
    </w:p>
    <w:p>
      <w:pPr>
        <w:pStyle w:val="ListBullet"/>
        <w:spacing w:before="10" w:after="10"/>
        <w:ind w:left="576" w:hanging="288"/>
      </w:pPr>
      <w:r>
        <w:rPr>
          <w:color w:val="44403C"/>
          <w:sz w:val="18"/>
        </w:rPr>
        <w:t>Owned retention as a product problem: membership, churn, and engagement data products identified 11.7% annual churn; RFM segmentation retained 78% of high-risk customers. Clients who cannot see cost or status clearly do not continue.</w:t>
      </w:r>
    </w:p>
    <w:p>
      <w:pPr>
        <w:pStyle w:val="ListBullet"/>
        <w:spacing w:before="10" w:after="10"/>
        <w:ind w:left="576" w:hanging="288"/>
      </w:pPr>
      <w:r>
        <w:rPr>
          <w:color w:val="44403C"/>
          <w:sz w:val="18"/>
        </w:rPr>
        <w:t>Shipped NLP classification to route inbound operational requests out of a shared inbox — support-load reduction on the analog of billing/coverage tickets. Led discovery for a mobile inspection platform (interviews, workflow mapping, prototyping, usability testing) before engineering investment.</w:t>
      </w:r>
    </w:p>
    <w:p>
      <w:pPr>
        <w:keepNext/>
        <w:spacing w:before="100" w:after="20"/>
      </w:pPr>
      <w:r>
        <w:rPr>
          <w:b/>
          <w:color w:val="1C1917"/>
          <w:sz w:val="20"/>
        </w:rPr>
        <w:t>Strategy Consultant  |  180 Degrees Consulting — University of British Columbia</w:t>
      </w:r>
      <w:r>
        <w:rPr>
          <w:b w:val="0"/>
          <w:color w:val="78716C"/>
          <w:sz w:val="18"/>
        </w:rPr>
        <w:t xml:space="preserve">    Sep 2020 – Oct 2021</w:t>
      </w:r>
    </w:p>
    <w:p>
      <w:pPr>
        <w:pStyle w:val="ListBullet"/>
        <w:spacing w:before="10" w:after="10"/>
        <w:ind w:left="576" w:hanging="288"/>
      </w:pPr>
      <w:r>
        <w:rPr>
          <w:color w:val="44403C"/>
          <w:sz w:val="18"/>
        </w:rPr>
        <w:t>Built product and market strategies for nonprofit and clean-energy clients; designed a conversion system for Open Primaries that cut bounce rate 37% while doubling subscriptions.</w:t>
      </w:r>
    </w:p>
    <w:p>
      <w:pPr>
        <w:spacing w:before="40" w:after="40"/>
        <w:pBdr>
          <w:bottom w:val="single" w:sz="6" w:space="1" w:color="6D28D9"/>
        </w:pBdr>
      </w:pPr>
    </w:p>
    <w:p>
      <w:pPr>
        <w:keepNext/>
        <w:spacing w:before="120" w:after="40"/>
      </w:pPr>
      <w:r>
        <w:rPr>
          <w:b/>
          <w:color w:val="6D28D9"/>
          <w:sz w:val="21"/>
        </w:rPr>
        <w:t>EDUCATION</w:t>
      </w:r>
    </w:p>
    <w:p>
      <w:pPr>
        <w:keepNext/>
        <w:spacing w:before="100" w:after="20"/>
      </w:pPr>
      <w:r>
        <w:rPr>
          <w:b/>
          <w:color w:val="1C1917"/>
          <w:sz w:val="20"/>
        </w:rPr>
        <w:t>Master of Business Analytics  |  University of British Columbia</w:t>
      </w:r>
      <w:r>
        <w:rPr>
          <w:b w:val="0"/>
          <w:color w:val="78716C"/>
          <w:sz w:val="18"/>
        </w:rPr>
        <w:t xml:space="preserve">    </w:t>
      </w:r>
    </w:p>
    <w:p>
      <w:pPr>
        <w:spacing w:before="40" w:after="40"/>
      </w:pPr>
      <w:r>
        <w:rPr>
          <w:i w:val="0"/>
          <w:color w:val="78716C"/>
          <w:sz w:val="18"/>
        </w:rPr>
        <w:t>Python  •  SQL  •  Machine Learning  •  Optimization  •  Product Analytics</w:t>
      </w:r>
    </w:p>
    <w:p>
      <w:pPr>
        <w:keepNext/>
        <w:spacing w:before="100" w:after="20"/>
      </w:pPr>
      <w:r>
        <w:rPr>
          <w:b/>
          <w:color w:val="1C1917"/>
          <w:sz w:val="20"/>
        </w:rPr>
        <w:t>Bachelor of Business Administration (Marketing)  |  British Columbia Institute of Technology</w:t>
      </w:r>
      <w:r>
        <w:rPr>
          <w:b w:val="0"/>
          <w:color w:val="78716C"/>
          <w:sz w:val="18"/>
        </w:rPr>
        <w:t xml:space="preserve">    </w:t>
      </w:r>
    </w:p>
    <w:p>
      <w:pPr>
        <w:spacing w:before="40" w:after="40"/>
        <w:pBdr>
          <w:bottom w:val="single" w:sz="6" w:space="1" w:color="6D28D9"/>
        </w:pBdr>
      </w:pPr>
    </w:p>
    <w:p>
      <w:pPr>
        <w:keepNext/>
        <w:spacing w:before="120" w:after="40"/>
      </w:pPr>
      <w:r>
        <w:rPr>
          <w:b/>
          <w:color w:val="6D28D9"/>
          <w:sz w:val="21"/>
        </w:rPr>
        <w:t>LEADERSHIP</w:t>
      </w:r>
    </w:p>
    <w:p>
      <w:pPr>
        <w:spacing w:before="20" w:after="40"/>
      </w:pPr>
      <w:r>
        <w:rPr>
          <w:i w:val="0"/>
          <w:color w:val="44403C"/>
          <w:sz w:val="18"/>
        </w:rPr>
        <w:t>Speaker, ProductCamp BC (2025) — “How Legacy Industries Can Adopt a Product Mindset to Improve Service Delivery.”   Mentor, ProductBC — product discovery, strategy, and career development.</w:t>
      </w:r>
    </w:p>
    <w:p>
      <w:pPr>
        <w:spacing w:before="40" w:after="40"/>
        <w:pBdr>
          <w:bottom w:val="single" w:sz="6" w:space="1" w:color="6D28D9"/>
        </w:pBdr>
      </w:pPr>
    </w:p>
    <w:p>
      <w:pPr>
        <w:keepNext/>
        <w:spacing w:before="120" w:after="40"/>
      </w:pPr>
      <w:r>
        <w:rPr>
          <w:b/>
          <w:color w:val="6D28D9"/>
          <w:sz w:val="21"/>
        </w:rPr>
        <w:t>SKILLS</w:t>
      </w:r>
    </w:p>
    <w:p>
      <w:pPr>
        <w:spacing w:before="40" w:after="40"/>
      </w:pPr>
      <w:r>
        <w:rPr>
          <w:b/>
          <w:color w:val="5B21B6"/>
          <w:sz w:val="18"/>
        </w:rPr>
        <w:t xml:space="preserve">Product leadership:  </w:t>
      </w:r>
      <w:r>
        <w:rPr>
          <w:color w:val="44403C"/>
          <w:sz w:val="18"/>
        </w:rPr>
        <w:t>Product Strategy  •  End-to-End Surface Ownership  •  0-to-1  •  Roadmaps  •  Org-Level Influence  •  Executive Business Cases  •  Outcomes over Outputs</w:t>
      </w:r>
    </w:p>
    <w:p>
      <w:pPr>
        <w:spacing w:before="40" w:after="40"/>
      </w:pPr>
      <w:r>
        <w:rPr>
          <w:b/>
          <w:color w:val="5B21B6"/>
          <w:sz w:val="18"/>
        </w:rPr>
        <w:t xml:space="preserve">Payments, billing &amp; insurance:  </w:t>
      </w:r>
      <w:r>
        <w:rPr>
          <w:color w:val="44403C"/>
          <w:sz w:val="18"/>
        </w:rPr>
        <w:t>Payments Experience  •  Billing UX  •  Cost Transparency  •  Financial Clarity  •  Eligibility  •  Coverage Rules  •  Fee Schedules  •  First-Pass Yield  •  Claims Validation</w:t>
      </w:r>
    </w:p>
    <w:p>
      <w:pPr>
        <w:spacing w:before="40" w:after="40"/>
      </w:pPr>
      <w:r>
        <w:rPr>
          <w:b/>
          <w:color w:val="5B21B6"/>
          <w:sz w:val="18"/>
        </w:rPr>
        <w:t xml:space="preserve">Care access &amp; mental health:  </w:t>
      </w:r>
      <w:r>
        <w:rPr>
          <w:color w:val="44403C"/>
          <w:sz w:val="18"/>
        </w:rPr>
        <w:t>Patient / Client Experience  •  Confidence to Start Care  •  Care Continuity  •  Mental-Health Program Eligibility  •  Counselling / Psychological-Injury Claims  •  Delayed Referral Prevention</w:t>
      </w:r>
    </w:p>
    <w:p>
      <w:pPr>
        <w:spacing w:before="40" w:after="40"/>
      </w:pPr>
      <w:r>
        <w:rPr>
          <w:b/>
          <w:color w:val="5B21B6"/>
          <w:sz w:val="18"/>
        </w:rPr>
        <w:t xml:space="preserve">Retention &amp; operations:  </w:t>
      </w:r>
      <w:r>
        <w:rPr>
          <w:color w:val="44403C"/>
          <w:sz w:val="18"/>
        </w:rPr>
        <w:t>Support-Call Reduction  •  NPS  •  Digital Adoption  •  Churn / RFM  •  Change Management  •  Design / UXR / Ops / Support Partnership</w:t>
      </w:r>
    </w:p>
    <w:p>
      <w:pPr>
        <w:spacing w:before="40" w:after="40"/>
      </w:pPr>
      <w:r>
        <w:rPr>
          <w:b/>
          <w:color w:val="5B21B6"/>
          <w:sz w:val="18"/>
        </w:rPr>
        <w:t xml:space="preserve">Analytics &amp; technical:  </w:t>
      </w:r>
      <w:r>
        <w:rPr>
          <w:color w:val="44403C"/>
          <w:sz w:val="18"/>
        </w:rPr>
        <w:t>PostHog Funnels  •  Staged Launches  •  SQL  •  Python  •  REST APIs  •  EMR/EHR  •  LLM / RAG  •  NLP (shipped)</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