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AF9F6"/>
  <w:body>
    <w:p>
      <w:pPr>
        <w:spacing w:before="0" w:after="40"/>
        <w:jc w:val="center"/>
      </w:pPr>
      <w:r>
        <w:rPr>
          <w:b/>
          <w:color w:val="1C1917"/>
          <w:sz w:val="36"/>
        </w:rPr>
        <w:t>KHUSHBOO DODANI</w:t>
      </w:r>
    </w:p>
    <w:p>
      <w:pPr>
        <w:spacing w:before="0" w:after="40"/>
        <w:jc w:val="center"/>
      </w:pPr>
      <w:r>
        <w:rPr>
          <w:color w:val="78716C"/>
          <w:sz w:val="18"/>
        </w:rPr>
        <w:t xml:space="preserve">San Francisco Bay Area  |  khushdodani@gmail.com  |  </w:t>
      </w:r>
      <w:hyperlink r:id="rId9">
        <w:r>
          <w:rPr>
            <w:color w:val="78716C"/>
            <w:sz w:val="18"/>
            <w:szCs w:val="18"/>
            <w:u w:val="single"/>
          </w:rPr>
          <w:t xml:space="preserve">LinkedIn</w:t>
        </w:r>
      </w:hyperlink>
      <w:r>
        <w:rPr>
          <w:color w:val="78716C"/>
          <w:sz w:val="18"/>
        </w:rPr>
        <w:t xml:space="preserve">  |  </w:t>
      </w:r>
      <w:hyperlink r:id="rId10">
        <w:r>
          <w:rPr>
            <w:color w:val="78716C"/>
            <w:sz w:val="18"/>
            <w:szCs w:val="18"/>
            <w:u w:val="single"/>
          </w:rPr>
          <w:t xml:space="preserve">GitHub</w:t>
        </w:r>
      </w:hyperlink>
      <w:r>
        <w:rPr>
          <w:color w:val="78716C"/>
          <w:sz w:val="18"/>
        </w:rPr>
        <w:t xml:space="preserve">  |  </w:t>
      </w:r>
      <w:hyperlink r:id="rId11">
        <w:r>
          <w:rPr>
            <w:color w:val="78716C"/>
            <w:sz w:val="18"/>
            <w:szCs w:val="18"/>
            <w:u w:val="single"/>
          </w:rPr>
          <w:t xml:space="preserve">Portfolio</w:t>
        </w:r>
      </w:hyperlink>
    </w:p>
    <w:p>
      <w:pPr>
        <w:spacing w:before="40" w:after="40"/>
        <w:jc w:val="center"/>
      </w:pPr>
      <w:r>
        <w:rPr>
          <w:b/>
          <w:color w:val="6D28D9"/>
          <w:sz w:val="24"/>
        </w:rPr>
        <w:t>PRODUCT MANAGER</w:t>
      </w:r>
    </w:p>
    <w:p>
      <w:pPr>
        <w:spacing w:before="20" w:after="80"/>
        <w:jc w:val="center"/>
      </w:pPr>
      <w:r>
        <w:rPr>
          <w:color w:val="5B21B6"/>
          <w:sz w:val="18"/>
        </w:rPr>
        <w:t>Personalized Consumer Healthcare Experiences  •  Engagement &amp; Retention  •  MSK / Physiotherapy  •  A/B Experimentation</w:t>
      </w:r>
    </w:p>
    <w:p>
      <w:pPr>
        <w:spacing w:before="40" w:after="40"/>
        <w:pBdr>
          <w:bottom w:val="single" w:sz="6" w:space="1" w:color="6D28D9"/>
        </w:pBdr>
      </w:pPr>
    </w:p>
    <w:p>
      <w:pPr>
        <w:spacing w:before="80" w:after="80"/>
      </w:pPr>
      <w:r>
        <w:rPr>
          <w:i w:val="0"/>
          <w:color w:val="44403C"/>
          <w:sz w:val="19"/>
        </w:rPr>
        <w:t>Product Manager with 5 years owning consumer digital health experiences that drive activation, engagement, and retention — including MSK/physiotherapy workflows that keep treatment moving. Ships with engineering, design, and clinical partners to improve member engagement and retention; sets success metrics; runs hypothesis-driven A/B tests and adjusts strategy from funnel data. Takes products from discovery through rollout and measurable adoption in regulated healthcare. Master of Business Analytics; BBA in Marketing.</w:t>
      </w:r>
    </w:p>
    <w:p>
      <w:pPr>
        <w:spacing w:before="40" w:after="40"/>
        <w:pBdr>
          <w:bottom w:val="single" w:sz="6" w:space="1" w:color="6D28D9"/>
        </w:pBdr>
      </w:pPr>
    </w:p>
    <w:p>
      <w:pPr>
        <w:keepNext/>
        <w:spacing w:before="160" w:after="40"/>
      </w:pPr>
      <w:r>
        <w:rPr>
          <w:b/>
          <w:color w:val="6D28D9"/>
          <w:sz w:val="21"/>
        </w:rPr>
        <w:t>EXPERIENCE</w:t>
      </w:r>
    </w:p>
    <w:p>
      <w:pPr>
        <w:keepNext/>
        <w:spacing w:before="100" w:after="20"/>
      </w:pPr>
      <w:r>
        <w:rPr>
          <w:b/>
          <w:color w:val="1C1917"/>
          <w:sz w:val="20"/>
        </w:rPr>
        <w:t>Product Manager — Consumer Healthcare Experience  |  WorkSafeBC</w:t>
      </w:r>
      <w:r>
        <w:rPr>
          <w:b w:val="0"/>
          <w:color w:val="78716C"/>
          <w:sz w:val="18"/>
        </w:rPr>
        <w:t xml:space="preserve">    Apr 2024 – Present</w:t>
      </w:r>
    </w:p>
    <w:p>
      <w:pPr>
        <w:keepNext/>
        <w:spacing w:before="0" w:after="20"/>
      </w:pPr>
      <w:r>
        <w:rPr>
          <w:b w:val="0"/>
          <w:i/>
          <w:color w:val="4F46E5"/>
          <w:sz w:val="18"/>
        </w:rPr>
        <w:t>MSK Care Continuity &amp; Clinical Outcomes</w:t>
      </w:r>
    </w:p>
    <w:p>
      <w:pPr>
        <w:pStyle w:val="ListBullet"/>
        <w:spacing w:before="20" w:after="20"/>
        <w:ind w:left="576" w:hanging="288"/>
      </w:pPr>
      <w:r>
        <w:rPr>
          <w:color w:val="44403C"/>
          <w:sz w:val="19"/>
        </w:rPr>
        <w:t>Own product strategy for consumer digital health experiences used by patients and providers to manage care journeys, improving engagement, adherence, and continuity of treatment — translating outcomes into sequenced delivery with engineering, design, clinicians, and program leadership.</w:t>
      </w:r>
    </w:p>
    <w:p>
      <w:pPr>
        <w:pStyle w:val="ListBullet"/>
        <w:spacing w:before="20" w:after="20"/>
        <w:ind w:left="576" w:hanging="288"/>
      </w:pPr>
      <w:r>
        <w:rPr>
          <w:color w:val="44403C"/>
          <w:sz w:val="19"/>
        </w:rPr>
        <w:t>Digitized physio treatment-extension requests (replacing fax/phone) with tracking, validation, and phased rollout across provider and case-manager groups — partnering with CMS product owners on an $80M physiotherapy spend workflow so patients keep treatment moving instead of stalling care.</w:t>
      </w:r>
    </w:p>
    <w:p>
      <w:pPr>
        <w:pStyle w:val="ListBullet"/>
        <w:spacing w:before="20" w:after="20"/>
        <w:ind w:left="576" w:hanging="288"/>
      </w:pPr>
      <w:r>
        <w:rPr>
          <w:color w:val="44403C"/>
          <w:sz w:val="19"/>
        </w:rPr>
        <w:t>Improved engagement and adherence in care workflows, contributing to better treatment continuity and clinical outcomes.</w:t>
      </w:r>
    </w:p>
    <w:p>
      <w:pPr>
        <w:keepNext/>
        <w:spacing w:before="0" w:after="20"/>
      </w:pPr>
      <w:r>
        <w:rPr>
          <w:b w:val="0"/>
          <w:i/>
          <w:color w:val="4F46E5"/>
          <w:sz w:val="18"/>
        </w:rPr>
        <w:t>Engagement, Activation &amp; Experimentation</w:t>
      </w:r>
    </w:p>
    <w:p>
      <w:pPr>
        <w:pStyle w:val="ListBullet"/>
        <w:spacing w:before="20" w:after="20"/>
        <w:ind w:left="576" w:hanging="288"/>
      </w:pPr>
      <w:r>
        <w:rPr>
          <w:color w:val="44403C"/>
          <w:sz w:val="19"/>
        </w:rPr>
        <w:t>Designed and led hypothesis-driven A/B experiments to optimize conversion and engagement across key user flows after analytics showed 25 of 3,795 organizations generated 50% of remaining paper volume (~280K blocked line items); staged dark / soft / hard cohort launches.</w:t>
      </w:r>
    </w:p>
    <w:p>
      <w:pPr>
        <w:pStyle w:val="ListBullet"/>
        <w:spacing w:before="20" w:after="20"/>
        <w:ind w:left="576" w:hanging="288"/>
      </w:pPr>
      <w:r>
        <w:rPr>
          <w:color w:val="44403C"/>
          <w:sz w:val="19"/>
        </w:rPr>
        <w:t>Cut the submission journey from 11 screens to 5, shifted paper from 56% to 19% of line items, and grew portal share from 39% to 55%. Presented product strategy and experiment outcomes to executive leadership, influencing roadmap and funding decisions — securing $580K in funding.</w:t>
      </w:r>
    </w:p>
    <w:p>
      <w:pPr>
        <w:pStyle w:val="ListBullet"/>
        <w:spacing w:before="20" w:after="20"/>
        <w:ind w:left="576" w:hanging="288"/>
      </w:pPr>
      <w:r>
        <w:rPr>
          <w:color w:val="44403C"/>
          <w:sz w:val="19"/>
        </w:rPr>
        <w:t>Improved activation and retention by reducing friction in critical user journeys and iterating based on funnel drop-off analysis; instrumented PostHog funnels before launch so risk was visible within days.</w:t>
      </w:r>
    </w:p>
    <w:p>
      <w:pPr>
        <w:keepNext/>
        <w:spacing w:before="0" w:after="20"/>
      </w:pPr>
      <w:r>
        <w:rPr>
          <w:b w:val="0"/>
          <w:i/>
          <w:color w:val="4F46E5"/>
          <w:sz w:val="18"/>
        </w:rPr>
        <w:t>Personalized Rollout &amp; Comms Experiments</w:t>
      </w:r>
    </w:p>
    <w:p>
      <w:pPr>
        <w:pStyle w:val="ListBullet"/>
        <w:spacing w:before="20" w:after="20"/>
        <w:ind w:left="576" w:hanging="288"/>
      </w:pPr>
      <w:r>
        <w:rPr>
          <w:color w:val="44403C"/>
          <w:sz w:val="19"/>
        </w:rPr>
        <w:t>Led a CIAM migration of 5,600 healthcare professionals across 500 organizations on a portal carrying 62,000+ annual referrals: tested multi-channel adoption treatments (email, in-product banners, administrator-led vs self-serve) plus helpdesk enablement — 0 service disruptions; 100% of active accounts transitioned on deadline.</w:t>
      </w:r>
    </w:p>
    <w:p>
      <w:pPr>
        <w:keepNext/>
        <w:spacing w:before="0" w:after="20"/>
      </w:pPr>
      <w:r>
        <w:rPr>
          <w:b w:val="0"/>
          <w:i/>
          <w:color w:val="4F46E5"/>
          <w:sz w:val="18"/>
        </w:rPr>
        <w:t>Product Intuition in Clinical Workflow</w:t>
      </w:r>
    </w:p>
    <w:p>
      <w:pPr>
        <w:pStyle w:val="ListBullet"/>
        <w:spacing w:before="20" w:after="20"/>
        <w:ind w:left="576" w:hanging="288"/>
      </w:pPr>
      <w:r>
        <w:rPr>
          <w:color w:val="44403C"/>
          <w:sz w:val="19"/>
        </w:rPr>
        <w:t>Identified non-obvious UX friction through user interviews and behavioral data, simplifying flows to create more intuitive and engaging experiences.</w:t>
      </w:r>
    </w:p>
    <w:p>
      <w:pPr>
        <w:pStyle w:val="ListBullet"/>
        <w:spacing w:before="20" w:after="20"/>
        <w:ind w:left="576" w:hanging="288"/>
      </w:pPr>
      <w:r>
        <w:rPr>
          <w:color w:val="44403C"/>
          <w:sz w:val="19"/>
        </w:rPr>
        <w:t>Led product discovery for EMR-at-point-of-care submission so physicians could send clinical documentation from OSCAR rather than a separate portal — after interviews showed GPs will not leave their EHR.</w:t>
      </w:r>
    </w:p>
    <w:p>
      <w:pPr>
        <w:pStyle w:val="ListBullet"/>
        <w:spacing w:before="20" w:after="20"/>
        <w:ind w:left="576" w:hanging="288"/>
      </w:pPr>
      <w:r>
        <w:rPr>
          <w:color w:val="44403C"/>
          <w:sz w:val="19"/>
        </w:rPr>
        <w:t>Secured $80K Innovation Council funding and a roadmap covering ~70% of the provider ecosystem; coordinated 50 EMR vendors plus TELUS, ForgeRock, and government partners from requirements through go-live.</w:t>
      </w:r>
    </w:p>
    <w:p>
      <w:pPr>
        <w:keepNext/>
        <w:spacing w:before="0" w:after="20"/>
      </w:pPr>
      <w:r>
        <w:rPr>
          <w:b w:val="0"/>
          <w:i/>
          <w:color w:val="4F46E5"/>
          <w:sz w:val="18"/>
        </w:rPr>
        <w:t>Personalized Next-Best-Action</w:t>
      </w:r>
    </w:p>
    <w:p>
      <w:pPr>
        <w:pStyle w:val="ListBullet"/>
        <w:spacing w:before="20" w:after="20"/>
        <w:ind w:left="576" w:hanging="288"/>
      </w:pPr>
      <w:r>
        <w:rPr>
          <w:color w:val="44403C"/>
          <w:sz w:val="19"/>
        </w:rPr>
        <w:t>Built an AI-powered personalization experience using LLM agents to deliver next-best-action recommendations, guiding users toward appropriate care pathways — 2nd place at WorkSafeBC InnoFest 2025.</w:t>
      </w:r>
    </w:p>
    <w:p>
      <w:pPr>
        <w:keepNext/>
        <w:spacing w:before="100" w:after="20"/>
      </w:pPr>
      <w:r>
        <w:rPr>
          <w:b/>
          <w:color w:val="1C1917"/>
          <w:sz w:val="20"/>
        </w:rPr>
        <w:t>Product Manager  |  Technical Safety BC</w:t>
      </w:r>
      <w:r>
        <w:rPr>
          <w:b w:val="0"/>
          <w:color w:val="78716C"/>
          <w:sz w:val="18"/>
        </w:rPr>
        <w:t xml:space="preserve">    Oct 2021 – Apr 2024</w:t>
      </w:r>
    </w:p>
    <w:p>
      <w:pPr>
        <w:pStyle w:val="ListBullet"/>
        <w:spacing w:before="20" w:after="20"/>
        <w:ind w:left="576" w:hanging="288"/>
      </w:pPr>
      <w:r>
        <w:rPr>
          <w:color w:val="44403C"/>
          <w:sz w:val="19"/>
        </w:rPr>
        <w:t>Built operational analytics identifying an 11.7% average annual churn rate; developed an RFM segmentation model and ran targeted engagement treatments vs baseline outreach, retaining 78% of high-risk customers.</w:t>
      </w:r>
    </w:p>
    <w:p>
      <w:pPr>
        <w:pStyle w:val="ListBullet"/>
        <w:spacing w:before="20" w:after="20"/>
        <w:ind w:left="576" w:hanging="288"/>
      </w:pPr>
      <w:r>
        <w:rPr>
          <w:color w:val="44403C"/>
          <w:sz w:val="19"/>
        </w:rPr>
        <w:t>Led discovery for a mobile remote inspections platform — contextual research, workflow mapping, usability testing, and prototyping before development investment.</w:t>
      </w:r>
    </w:p>
    <w:p>
      <w:pPr>
        <w:pStyle w:val="ListBullet"/>
        <w:spacing w:before="20" w:after="20"/>
        <w:ind w:left="576" w:hanging="288"/>
      </w:pPr>
      <w:r>
        <w:rPr>
          <w:color w:val="44403C"/>
          <w:sz w:val="19"/>
        </w:rPr>
        <w:t>Partnered with engineering, field inspectors, designers, and operations leaders to translate operational pain points into product requirements, roadmap priorities, and implementation plans.</w:t>
      </w:r>
    </w:p>
    <w:p>
      <w:pPr>
        <w:pStyle w:val="ListBullet"/>
        <w:spacing w:before="20" w:after="20"/>
        <w:ind w:left="576" w:hanging="288"/>
      </w:pPr>
      <w:r>
        <w:rPr>
          <w:color w:val="44403C"/>
          <w:sz w:val="19"/>
        </w:rPr>
        <w:t>Built NLP-powered email classification to personalize routing and triage of incoming operational requests, reducing manual inbox processing burden.</w:t>
      </w:r>
    </w:p>
    <w:p>
      <w:pPr>
        <w:keepNext/>
        <w:spacing w:before="100" w:after="20"/>
      </w:pPr>
      <w:r>
        <w:rPr>
          <w:b/>
          <w:color w:val="1C1917"/>
          <w:sz w:val="20"/>
        </w:rPr>
        <w:t>Strategy Consultant  |  180 Degrees Consulting — University of British Columbia</w:t>
      </w:r>
      <w:r>
        <w:rPr>
          <w:b w:val="0"/>
          <w:color w:val="78716C"/>
          <w:sz w:val="18"/>
        </w:rPr>
        <w:t xml:space="preserve">    Sep 2020 – Oct 2021</w:t>
      </w:r>
    </w:p>
    <w:p>
      <w:pPr>
        <w:pStyle w:val="ListBullet"/>
        <w:spacing w:before="20" w:after="20"/>
        <w:ind w:left="576" w:hanging="288"/>
      </w:pPr>
      <w:r>
        <w:rPr>
          <w:color w:val="44403C"/>
          <w:sz w:val="19"/>
        </w:rPr>
        <w:t>Developed product and market strategies for nonprofit and clean energy organizations through customer research, market analysis, and strategic planning; designed a data-driven acquisition strategy for Open Primaries that reduced website bounce rate by 37% while doubling subscriptions.</w:t>
      </w:r>
    </w:p>
    <w:p>
      <w:pPr>
        <w:keepNext/>
        <w:spacing w:before="100" w:after="20"/>
      </w:pPr>
      <w:r>
        <w:rPr>
          <w:b/>
          <w:color w:val="1C1917"/>
          <w:sz w:val="20"/>
        </w:rPr>
        <w:t>SEO Consultant  |  Convertus</w:t>
      </w:r>
      <w:r>
        <w:rPr>
          <w:b w:val="0"/>
          <w:color w:val="78716C"/>
          <w:sz w:val="18"/>
        </w:rPr>
        <w:t xml:space="preserve">    May 2018 – Jul 2019</w:t>
      </w:r>
    </w:p>
    <w:p>
      <w:pPr>
        <w:pStyle w:val="ListBullet"/>
        <w:spacing w:before="20" w:after="20"/>
        <w:ind w:left="576" w:hanging="288"/>
      </w:pPr>
      <w:r>
        <w:rPr>
          <w:color w:val="44403C"/>
          <w:sz w:val="19"/>
        </w:rPr>
        <w:t>Built analytics-driven growth strategies for 75+ consumer-facing client websites, increasing organic performance by approximately 150%, and a forecasting tool predicting SEO performance with approximately 85% accuracy.</w:t>
      </w:r>
    </w:p>
    <w:p>
      <w:pPr>
        <w:spacing w:before="40" w:after="40"/>
        <w:pBdr>
          <w:bottom w:val="single" w:sz="6" w:space="1" w:color="6D28D9"/>
        </w:pBdr>
      </w:pPr>
    </w:p>
    <w:p>
      <w:pPr>
        <w:keepNext/>
        <w:spacing w:before="160" w:after="40"/>
      </w:pPr>
      <w:r>
        <w:rPr>
          <w:b/>
          <w:color w:val="6D28D9"/>
          <w:sz w:val="21"/>
        </w:rPr>
        <w:t>EDUCATION</w:t>
      </w:r>
    </w:p>
    <w:p>
      <w:pPr>
        <w:keepNext/>
        <w:spacing w:before="100" w:after="20"/>
      </w:pPr>
      <w:r>
        <w:rPr>
          <w:b/>
          <w:color w:val="1C1917"/>
          <w:sz w:val="20"/>
        </w:rPr>
        <w:t>Master of Business Analytics  |  University of British Columbia</w:t>
      </w:r>
      <w:r>
        <w:rPr>
          <w:b w:val="0"/>
          <w:color w:val="78716C"/>
          <w:sz w:val="18"/>
        </w:rPr>
        <w:t xml:space="preserve">    </w:t>
      </w:r>
    </w:p>
    <w:p>
      <w:pPr>
        <w:spacing w:before="40" w:after="40"/>
      </w:pPr>
      <w:r>
        <w:rPr>
          <w:i w:val="0"/>
          <w:color w:val="78716C"/>
          <w:sz w:val="18"/>
        </w:rPr>
        <w:t>Python  •  SQL  •  Machine Learning  •  Optimization  •  Product Analytics</w:t>
      </w:r>
    </w:p>
    <w:p>
      <w:pPr>
        <w:keepNext/>
        <w:spacing w:before="100" w:after="20"/>
      </w:pPr>
      <w:r>
        <w:rPr>
          <w:b/>
          <w:color w:val="1C1917"/>
          <w:sz w:val="20"/>
        </w:rPr>
        <w:t>Bachelor of Business Administration (Marketing)  |  British Columbia Institute of Technology</w:t>
      </w:r>
      <w:r>
        <w:rPr>
          <w:b w:val="0"/>
          <w:color w:val="78716C"/>
          <w:sz w:val="18"/>
        </w:rPr>
        <w:t xml:space="preserve">    </w:t>
      </w:r>
    </w:p>
    <w:p>
      <w:pPr>
        <w:spacing w:before="40" w:after="40"/>
        <w:pBdr>
          <w:bottom w:val="single" w:sz="6" w:space="1" w:color="6D28D9"/>
        </w:pBdr>
      </w:pPr>
    </w:p>
    <w:p>
      <w:pPr>
        <w:keepNext/>
        <w:spacing w:before="160" w:after="40"/>
      </w:pPr>
      <w:r>
        <w:rPr>
          <w:b/>
          <w:color w:val="6D28D9"/>
          <w:sz w:val="21"/>
        </w:rPr>
        <w:t>LEADERSHIP</w:t>
      </w:r>
    </w:p>
    <w:p>
      <w:pPr>
        <w:keepNext/>
        <w:spacing w:before="0" w:after="20"/>
      </w:pPr>
      <w:r>
        <w:rPr>
          <w:b/>
          <w:i w:val="0"/>
          <w:color w:val="1C1917"/>
          <w:sz w:val="19"/>
        </w:rPr>
        <w:t>Speaker — ProductCamp BC (2025)</w:t>
      </w:r>
    </w:p>
    <w:p>
      <w:pPr>
        <w:spacing w:before="0" w:after="40"/>
      </w:pPr>
      <w:r>
        <w:rPr>
          <w:i/>
          <w:color w:val="44403C"/>
          <w:sz w:val="19"/>
        </w:rPr>
        <w:t>"How Legacy Industries Can Adopt a Product Mindset to Improve Service Delivery."</w:t>
      </w:r>
    </w:p>
    <w:p>
      <w:pPr>
        <w:keepNext/>
        <w:spacing w:before="80" w:after="20"/>
      </w:pPr>
      <w:r>
        <w:rPr>
          <w:b/>
          <w:i w:val="0"/>
          <w:color w:val="1C1917"/>
          <w:sz w:val="19"/>
        </w:rPr>
        <w:t>Mentor — ProductBC</w:t>
      </w:r>
    </w:p>
    <w:p>
      <w:pPr>
        <w:spacing w:before="0" w:after="40"/>
      </w:pPr>
      <w:r>
        <w:rPr>
          <w:i w:val="0"/>
          <w:color w:val="44403C"/>
          <w:sz w:val="19"/>
        </w:rPr>
        <w:t>Mentor aspiring Product Managers in product discovery, strategy, and career development.</w:t>
      </w:r>
    </w:p>
    <w:p>
      <w:pPr>
        <w:spacing w:before="40" w:after="40"/>
        <w:pBdr>
          <w:bottom w:val="single" w:sz="6" w:space="1" w:color="6D28D9"/>
        </w:pBdr>
      </w:pPr>
    </w:p>
    <w:p>
      <w:pPr>
        <w:keepNext/>
        <w:spacing w:before="160" w:after="40"/>
      </w:pPr>
      <w:r>
        <w:rPr>
          <w:b/>
          <w:color w:val="6D28D9"/>
          <w:sz w:val="21"/>
        </w:rPr>
        <w:t>SKILLS</w:t>
      </w:r>
    </w:p>
    <w:p>
      <w:pPr>
        <w:spacing w:before="40" w:after="40"/>
      </w:pPr>
      <w:r>
        <w:rPr>
          <w:b/>
          <w:color w:val="5B21B6"/>
          <w:sz w:val="18"/>
        </w:rPr>
        <w:t xml:space="preserve">Product:  </w:t>
      </w:r>
      <w:r>
        <w:rPr>
          <w:color w:val="44403C"/>
          <w:sz w:val="18"/>
        </w:rPr>
        <w:t>Consumer Product Experiences  •  Product Strategy  •  Product Roadmaps  •  Personalized Experiences  •  Engagement  •  Retention  •  Lifecycle Metrics  •  A/B Testing  •  Experimental Design  •  Executive Influence</w:t>
      </w:r>
    </w:p>
    <w:p>
      <w:pPr>
        <w:spacing w:before="40" w:after="40"/>
      </w:pPr>
      <w:r>
        <w:rPr>
          <w:b/>
          <w:color w:val="5B21B6"/>
          <w:sz w:val="18"/>
        </w:rPr>
        <w:t xml:space="preserve">Personalization:  </w:t>
      </w:r>
      <w:r>
        <w:rPr>
          <w:color w:val="44403C"/>
          <w:sz w:val="18"/>
        </w:rPr>
        <w:t>Recommendation Systems  •  Next-Best-Action  •  Care Pathways</w:t>
      </w:r>
    </w:p>
    <w:p>
      <w:pPr>
        <w:spacing w:before="40" w:after="40"/>
      </w:pPr>
      <w:r>
        <w:rPr>
          <w:b/>
          <w:color w:val="5B21B6"/>
          <w:sz w:val="18"/>
        </w:rPr>
        <w:t xml:space="preserve">Healthcare:  </w:t>
      </w:r>
      <w:r>
        <w:rPr>
          <w:color w:val="44403C"/>
          <w:sz w:val="18"/>
        </w:rPr>
        <w:t>MSK / Physiotherapy Workflows  •  Digital Care Delivery  •  Clinical Partnership  •  Treatment Continuity  •  Regulated Healthcare  •  Clinical Documentation  •  Healthcare Operations</w:t>
      </w:r>
    </w:p>
    <w:p>
      <w:pPr>
        <w:spacing w:before="40" w:after="40"/>
      </w:pPr>
      <w:r>
        <w:rPr>
          <w:b/>
          <w:color w:val="5B21B6"/>
          <w:sz w:val="18"/>
        </w:rPr>
        <w:t xml:space="preserve">Analytics:  </w:t>
      </w:r>
      <w:r>
        <w:rPr>
          <w:color w:val="44403C"/>
          <w:sz w:val="18"/>
        </w:rPr>
        <w:t>PostHog  •  Funnel Instrumentation  •  Cohort Analysis  •  SQL  •  Python  •  Product Analytics  •  Azure</w:t>
      </w:r>
    </w:p>
    <w:p>
      <w:pPr>
        <w:spacing w:before="40" w:after="40"/>
      </w:pPr>
      <w:r>
        <w:rPr>
          <w:b/>
          <w:color w:val="5B21B6"/>
          <w:sz w:val="18"/>
        </w:rPr>
        <w:t xml:space="preserve">Research:  </w:t>
      </w:r>
      <w:r>
        <w:rPr>
          <w:color w:val="44403C"/>
          <w:sz w:val="18"/>
        </w:rPr>
        <w:t>User Interviews  •  Journey Mapping  •  Usability Testing  •  Workflow Analysis  •  Prototyping  •  Figma</w:t>
      </w:r>
    </w:p>
    <w:p>
      <w:pPr>
        <w:spacing w:before="40" w:after="40"/>
      </w:pPr>
      <w:r>
        <w:rPr>
          <w:b/>
          <w:color w:val="5B21B6"/>
          <w:sz w:val="18"/>
        </w:rPr>
        <w:t xml:space="preserve">AI:  </w:t>
      </w:r>
      <w:r>
        <w:rPr>
          <w:color w:val="44403C"/>
          <w:sz w:val="18"/>
        </w:rPr>
        <w:t>Next-Best-Action  •  LLM Applications  •  NLP  •  Intelligent Task Routing  •  Generative AI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displayBackgroundShape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khushdodani" TargetMode="External"/><Relationship Id="rId10" Type="http://schemas.openxmlformats.org/officeDocument/2006/relationships/hyperlink" Target="https://github.com/kdodani" TargetMode="External"/><Relationship Id="rId11" Type="http://schemas.openxmlformats.org/officeDocument/2006/relationships/hyperlink" Target="https://kdodani-portfolio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