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9F6"/>
  <w:body>
    <w:p>
      <w:pPr>
        <w:spacing w:before="0" w:after="0" w:line="240" w:lineRule="auto"/>
        <w:jc w:val="center"/>
      </w:pPr>
      <w:r>
        <w:rPr>
          <w:rFonts w:ascii="Calibri" w:hAnsi="Calibri" w:cs="Calibri"/>
          <w:b/>
          <w:color w:val="1C1917"/>
          <w:sz w:val="36"/>
        </w:rPr>
        <w:t>KHUSHBOO DODANI</w:t>
      </w:r>
    </w:p>
    <w:p>
      <w:pPr>
        <w:spacing w:before="0" w:after="0" w:line="240" w:lineRule="auto"/>
        <w:jc w:val="center"/>
      </w:pPr>
      <w:r>
        <w:rPr>
          <w:rFonts w:ascii="Calibri" w:hAnsi="Calibri" w:cs="Calibri"/>
          <w:color w:val="78716C"/>
          <w:sz w:val="18"/>
        </w:rPr>
        <w:t xml:space="preserve">San Francisco Bay Area  |  US work authorization  |  khushdodani@gmail.com  |  </w:t>
      </w:r>
      <w:hyperlink r:id="rId9">
        <w:r>
          <w:rPr>
            <w:rFonts w:ascii="Calibri" w:hAnsi="Calibri" w:cs="Calibri"/>
            <w:color w:val="78716C"/>
            <w:sz w:val="18"/>
            <w:szCs w:val="18"/>
            <w:u w:val="single"/>
          </w:rPr>
          <w:t xml:space="preserve">LinkedIn</w:t>
        </w:r>
      </w:hyperlink>
      <w:r>
        <w:rPr>
          <w:rFonts w:ascii="Calibri" w:hAnsi="Calibri" w:cs="Calibri"/>
          <w:color w:val="78716C"/>
          <w:sz w:val="18"/>
        </w:rPr>
        <w:t xml:space="preserve">  |  </w:t>
      </w:r>
      <w:hyperlink r:id="rId10">
        <w:r>
          <w:rPr>
            <w:rFonts w:ascii="Calibri" w:hAnsi="Calibri" w:cs="Calibri"/>
            <w:color w:val="78716C"/>
            <w:sz w:val="18"/>
            <w:szCs w:val="18"/>
            <w:u w:val="single"/>
          </w:rPr>
          <w:t xml:space="preserve">GitHub</w:t>
        </w:r>
      </w:hyperlink>
      <w:r>
        <w:rPr>
          <w:rFonts w:ascii="Calibri" w:hAnsi="Calibri" w:cs="Calibri"/>
          <w:color w:val="78716C"/>
          <w:sz w:val="18"/>
        </w:rPr>
        <w:t xml:space="preserve">  |  </w:t>
      </w:r>
      <w:hyperlink r:id="rId11">
        <w:r>
          <w:rPr>
            <w:rFonts w:ascii="Calibri" w:hAnsi="Calibri" w:cs="Calibri"/>
            <w:color w:val="78716C"/>
            <w:sz w:val="18"/>
            <w:szCs w:val="18"/>
            <w:u w:val="single"/>
          </w:rPr>
          <w:t xml:space="preserve">Portfolio</w:t>
        </w:r>
      </w:hyperlink>
    </w:p>
    <w:p>
      <w:pPr>
        <w:spacing w:before="20" w:after="0" w:line="240" w:lineRule="auto"/>
        <w:jc w:val="center"/>
      </w:pPr>
      <w:r>
        <w:rPr>
          <w:rFonts w:ascii="Calibri" w:hAnsi="Calibri" w:cs="Calibri"/>
          <w:b/>
          <w:color w:val="6D28D9"/>
          <w:sz w:val="23"/>
        </w:rPr>
        <w:t>PRODUCT MANAGER</w:t>
      </w:r>
    </w:p>
    <w:p>
      <w:pPr>
        <w:spacing w:before="0" w:after="20" w:line="240" w:lineRule="auto"/>
        <w:jc w:val="center"/>
      </w:pPr>
      <w:r>
        <w:rPr>
          <w:rFonts w:ascii="Calibri" w:hAnsi="Calibri" w:cs="Calibri"/>
          <w:color w:val="5B21B6"/>
          <w:sz w:val="18"/>
        </w:rPr>
        <w:t>Payer Operations  ·  Coverage &amp; Authorization  ·  Channel Routing  ·  Human + AI Workflows</w:t>
      </w:r>
    </w:p>
    <w:p>
      <w:pPr>
        <w:spacing w:before="20" w:after="20" w:line="240" w:lineRule="auto"/>
        <w:pBdr>
          <w:bottom w:val="single" w:sz="6" w:space="1" w:color="6D28D9"/>
        </w:pBdr>
      </w:pPr>
    </w:p>
    <w:p>
      <w:pPr>
        <w:spacing w:before="40" w:after="40" w:line="240" w:lineRule="auto"/>
      </w:pPr>
      <w:r>
        <w:rPr>
          <w:rFonts w:ascii="Calibri" w:hAnsi="Calibri" w:cs="Calibri"/>
          <w:i w:val="0"/>
          <w:color w:val="44403C"/>
          <w:sz w:val="19"/>
        </w:rPr>
        <w:t>Product manager since 2021, the last two and a half years inside a workers’ compensation payer. Owned the products that answer what is covered and whether treatment can continue, choose the channel that can produce a reliable answer (portal, vendor feed, API, fax, or a person), and hold the line when automation would be the wrong call. Diagnoses failures in task-level data, writes the rules and acceptance criteria, and ships them with engineering and operations. Measures success rate, turnaround, accuracy, and cost.</w:t>
      </w:r>
    </w:p>
    <w:p>
      <w:pPr>
        <w:spacing w:before="20" w:after="20" w:line="240" w:lineRule="auto"/>
        <w:pBdr>
          <w:bottom w:val="single" w:sz="6" w:space="1" w:color="6D28D9"/>
        </w:pBdr>
      </w:pPr>
    </w:p>
    <w:p>
      <w:pPr>
        <w:keepNext/>
        <w:spacing w:before="80" w:after="20" w:line="240" w:lineRule="auto"/>
      </w:pPr>
      <w:r>
        <w:rPr>
          <w:rFonts w:ascii="Calibri" w:hAnsi="Calibri" w:cs="Calibri"/>
          <w:b/>
          <w:color w:val="6D28D9"/>
          <w:sz w:val="21"/>
        </w:rPr>
        <w:t>EXPERIENCE</w:t>
      </w:r>
    </w:p>
    <w:p>
      <w:pPr>
        <w:keepNext/>
        <w:spacing w:before="80" w:after="0" w:line="240" w:lineRule="auto"/>
      </w:pPr>
      <w:r>
        <w:rPr>
          <w:rFonts w:ascii="Calibri" w:hAnsi="Calibri" w:cs="Calibri"/>
          <w:b/>
          <w:color w:val="1C1917"/>
          <w:sz w:val="21"/>
        </w:rPr>
        <w:t>Product Manager — Claims, Authorization &amp; Provider Operations  |  WorkSafeBC</w:t>
      </w:r>
      <w:r>
        <w:rPr>
          <w:rFonts w:ascii="Calibri" w:hAnsi="Calibri" w:cs="Calibri"/>
          <w:color w:val="78716C"/>
          <w:sz w:val="18"/>
        </w:rPr>
        <w:t xml:space="preserve">    Apr 2024 – Present</w:t>
      </w:r>
    </w:p>
    <w:p>
      <w:pPr>
        <w:keepNext/>
        <w:spacing w:before="40" w:after="0" w:line="240" w:lineRule="auto"/>
      </w:pPr>
      <w:r>
        <w:rPr>
          <w:rFonts w:ascii="Calibri" w:hAnsi="Calibri" w:cs="Calibri"/>
          <w:b w:val="0"/>
          <w:i/>
          <w:color w:val="4F46E5"/>
          <w:sz w:val="18"/>
        </w:rPr>
        <w:t>Workers’ compensation payer  ·  coverage rules, treatment authorization, and the tools that price and pay</w:t>
      </w:r>
    </w:p>
    <w:p>
      <w:pPr>
        <w:keepNext/>
        <w:spacing w:before="40" w:after="0" w:line="240" w:lineRule="auto"/>
      </w:pPr>
      <w:r>
        <w:rPr>
          <w:rFonts w:ascii="Calibri" w:hAnsi="Calibri" w:cs="Calibri"/>
          <w:b w:val="0"/>
          <w:i/>
          <w:color w:val="4F46E5"/>
          <w:sz w:val="18"/>
        </w:rPr>
        <w:t>Coverage, authorization, and when a person decides</w:t>
      </w:r>
    </w:p>
    <w:p>
      <w:pPr>
        <w:pStyle w:val="ListBullet"/>
        <w:spacing w:before="10" w:after="10" w:line="240" w:lineRule="auto"/>
        <w:ind w:left="461" w:hanging="202"/>
      </w:pPr>
      <w:r>
        <w:rPr>
          <w:rFonts w:ascii="Calibri" w:hAnsi="Calibri" w:cs="Calibri"/>
          <w:color w:val="44403C"/>
          <w:sz w:val="19"/>
        </w:rPr>
        <w:t>Encoded fee schedules, contracted rates, service codes, and contract eligibility in the product so invalid services, claims, and line items fail at submit. The invoice API returns only the services an organization is contracted to bill. Invalid submissions −40%.</w:t>
      </w:r>
    </w:p>
    <w:p>
      <w:pPr>
        <w:pStyle w:val="ListBullet"/>
        <w:spacing w:before="10" w:after="10" w:line="240" w:lineRule="auto"/>
        <w:ind w:left="461" w:hanging="202"/>
      </w:pPr>
      <w:r>
        <w:rPr>
          <w:rFonts w:ascii="Calibri" w:hAnsi="Calibri" w:cs="Calibri"/>
          <w:color w:val="44403C"/>
          <w:sz w:val="19"/>
        </w:rPr>
        <w:t>Digitized continued-treatment authorization on an $80M physiotherapy program after analyzing 139K historical requests (79% always approved; 27% same-day). Kept the decision with the case manager: straight-through approval would have rubber-stamped spend. Shipped tracking, error validation, and the decision rationale providers were calling to get. Requests still arrived by portal, fax, and mail, so intake covered every channel.</w:t>
      </w:r>
    </w:p>
    <w:p>
      <w:pPr>
        <w:keepNext/>
        <w:spacing w:before="40" w:after="0" w:line="240" w:lineRule="auto"/>
      </w:pPr>
      <w:r>
        <w:rPr>
          <w:rFonts w:ascii="Calibri" w:hAnsi="Calibri" w:cs="Calibri"/>
          <w:b w:val="0"/>
          <w:i/>
          <w:color w:val="4F46E5"/>
          <w:sz w:val="18"/>
        </w:rPr>
        <w:t>Channel choice, messy inputs, reliability, and go-lives</w:t>
      </w:r>
    </w:p>
    <w:p>
      <w:pPr>
        <w:pStyle w:val="ListBullet"/>
        <w:spacing w:before="10" w:after="10" w:line="240" w:lineRule="auto"/>
        <w:ind w:left="461" w:hanging="202"/>
      </w:pPr>
      <w:r>
        <w:rPr>
          <w:rFonts w:ascii="Calibri" w:hAnsi="Calibri" w:cs="Calibri"/>
          <w:color w:val="44403C"/>
          <w:sz w:val="19"/>
        </w:rPr>
        <w:t>Chose build or partner by where the data already lived and how reliable that path was. Rebuilt the portal for clinics billing 200–1,900 lines a month; partnered on a Blueprint bulk feed where hearing-aid practices already ran invoices; built a direct OSCAR EMR API where physicians will not leave the chart. $80K to prove the API. Roadmap covering ~70% of the provider ecosystem across 50 EMR vendors and TELUS.</w:t>
      </w:r>
    </w:p>
    <w:p>
      <w:pPr>
        <w:pStyle w:val="ListBullet"/>
        <w:spacing w:before="10" w:after="10" w:line="240" w:lineRule="auto"/>
        <w:ind w:left="461" w:hanging="202"/>
      </w:pPr>
      <w:r>
        <w:rPr>
          <w:rFonts w:ascii="Calibri" w:hAnsi="Calibri" w:cs="Calibri"/>
          <w:color w:val="44403C"/>
          <w:sz w:val="19"/>
        </w:rPr>
        <w:t>Analyzed 3.7M invoice line items. 25 of 3,795 organizations drove half of remaining paper (~280K lines) because the product capped them at one claim, 11 screens, and ~32 lines. Rebuilt to 5 screens, multi-claim, no line ceiling. Paper 56% → 19%. Portal 39% → 55%. ~$50K lower processing cost. $580K funded to scale it.</w:t>
      </w:r>
    </w:p>
    <w:p>
      <w:pPr>
        <w:pStyle w:val="ListBullet"/>
        <w:spacing w:before="10" w:after="10" w:line="240" w:lineRule="auto"/>
        <w:ind w:left="461" w:hanging="202"/>
      </w:pPr>
      <w:r>
        <w:rPr>
          <w:rFonts w:ascii="Calibri" w:hAnsi="Calibri" w:cs="Calibri"/>
          <w:color w:val="44403C"/>
          <w:sz w:val="19"/>
        </w:rPr>
        <w:t>Instrumented submit, error, and drop-off in PostHog on 322K digital lines a year. Dark launch to 10 named providers, then soft and hard launch with Healthcare Operations, with existing volume left intact. The first month showed the new path going unused; sat with those providers, found a control they could not see, and fixed discoverability before widening the rollout.</w:t>
      </w:r>
    </w:p>
    <w:p>
      <w:pPr>
        <w:pStyle w:val="ListBullet"/>
        <w:spacing w:before="10" w:after="10" w:line="240" w:lineRule="auto"/>
        <w:ind w:left="461" w:hanging="202"/>
      </w:pPr>
      <w:r>
        <w:rPr>
          <w:rFonts w:ascii="Calibri" w:hAnsi="Calibri" w:cs="Calibri"/>
          <w:color w:val="44403C"/>
          <w:sz w:val="19"/>
        </w:rPr>
        <w:t>Shipped field-level validation after bad inputs reached production, including a wrong payee number on a live request. Incomplete or inaccurate identifiers fail at submit with a specific reason, and operations receives requests that have already cleared that check.</w:t>
      </w:r>
    </w:p>
    <w:p>
      <w:pPr>
        <w:pStyle w:val="ListBullet"/>
        <w:spacing w:before="10" w:after="10" w:line="240" w:lineRule="auto"/>
        <w:ind w:left="461" w:hanging="202"/>
      </w:pPr>
      <w:r>
        <w:rPr>
          <w:rFonts w:ascii="Calibri" w:hAnsi="Calibri" w:cs="Calibri"/>
          <w:color w:val="44403C"/>
          <w:sz w:val="19"/>
        </w:rPr>
        <w:t>The reports that decide a claim were still 52,000 faxes a year, truncated by a 2001 billing spec, with physicians guessing codes. That is why the EMR path had to carry the clinical note itself: a reviewer cannot make an accurate call on a cut-off fax.</w:t>
      </w:r>
    </w:p>
    <w:p>
      <w:pPr>
        <w:pStyle w:val="ListBullet"/>
        <w:spacing w:before="10" w:after="10" w:line="240" w:lineRule="auto"/>
        <w:ind w:left="461" w:hanging="202"/>
      </w:pPr>
      <w:r>
        <w:rPr>
          <w:rFonts w:ascii="Calibri" w:hAnsi="Calibri" w:cs="Calibri"/>
          <w:color w:val="44403C"/>
          <w:sz w:val="19"/>
        </w:rPr>
        <w:t>Migrated 5,600 healthcare professionals across 500 organizations on a portal handling 62,000+ referrals a year. Cut over on the deadline with zero downtime and every active account moved.</w:t>
      </w:r>
    </w:p>
    <w:p>
      <w:pPr>
        <w:keepNext/>
        <w:spacing w:before="40" w:after="0" w:line="240" w:lineRule="auto"/>
      </w:pPr>
      <w:r>
        <w:rPr>
          <w:rFonts w:ascii="Calibri" w:hAnsi="Calibri" w:cs="Calibri"/>
          <w:b w:val="0"/>
          <w:i/>
          <w:color w:val="4F46E5"/>
          <w:sz w:val="18"/>
        </w:rPr>
        <w:t>Human + AI, on a safety boundary</w:t>
      </w:r>
    </w:p>
    <w:p>
      <w:pPr>
        <w:pStyle w:val="ListBullet"/>
        <w:spacing w:before="10" w:after="10" w:line="240" w:lineRule="auto"/>
        <w:ind w:left="461" w:hanging="202"/>
      </w:pPr>
      <w:r>
        <w:rPr>
          <w:rFonts w:ascii="Calibri" w:hAnsi="Calibri" w:cs="Calibri"/>
          <w:color w:val="44403C"/>
          <w:sz w:val="19"/>
        </w:rPr>
        <w:t>Built Referral Radar in a two-week sprint: LLM retrieval over 20–75 claim documents to surface which program a patient was eligible for, with an evidence trace back to the source. The person kept the decision. 2nd of 36, InnoFest 2025. Production records were blocked, so the sprint ran on synthetic cases reviewed with case managers.</w:t>
      </w:r>
    </w:p>
    <w:p>
      <w:pPr>
        <w:spacing w:before="0" w:after="0" w:line="240" w:lineRule="auto"/>
      </w:pPr>
      <w:r>
        <w:br w:type="page"/>
      </w:r>
    </w:p>
    <w:p>
      <w:pPr>
        <w:keepNext/>
        <w:spacing w:before="80" w:after="0" w:line="240" w:lineRule="auto"/>
      </w:pPr>
      <w:r>
        <w:rPr>
          <w:rFonts w:ascii="Calibri" w:hAnsi="Calibri" w:cs="Calibri"/>
          <w:b/>
          <w:color w:val="1C1917"/>
          <w:sz w:val="21"/>
        </w:rPr>
        <w:t>Product Manager (promoted from Business Analyst)  |  Technical Safety BC</w:t>
      </w:r>
      <w:r>
        <w:rPr>
          <w:rFonts w:ascii="Calibri" w:hAnsi="Calibri" w:cs="Calibri"/>
          <w:color w:val="78716C"/>
          <w:sz w:val="18"/>
        </w:rPr>
        <w:t xml:space="preserve">    Oct 2021 – Apr 2024</w:t>
      </w:r>
    </w:p>
    <w:p>
      <w:pPr>
        <w:pStyle w:val="ListBullet"/>
        <w:spacing w:before="10" w:after="10" w:line="240" w:lineRule="auto"/>
        <w:ind w:left="461" w:hanging="202"/>
      </w:pPr>
      <w:r>
        <w:rPr>
          <w:rFonts w:ascii="Calibri" w:hAnsi="Calibri" w:cs="Calibri"/>
          <w:color w:val="44403C"/>
          <w:sz w:val="19"/>
        </w:rPr>
        <w:t>Shipped NLP classification that routed inbound operations email to the right queue and took triage off a human inbox.</w:t>
      </w:r>
    </w:p>
    <w:p>
      <w:pPr>
        <w:pStyle w:val="ListBullet"/>
        <w:spacing w:before="10" w:after="10" w:line="240" w:lineRule="auto"/>
        <w:ind w:left="461" w:hanging="202"/>
      </w:pPr>
      <w:r>
        <w:rPr>
          <w:rFonts w:ascii="Calibri" w:hAnsi="Calibri" w:cs="Calibri"/>
          <w:color w:val="44403C"/>
          <w:sz w:val="19"/>
        </w:rPr>
        <w:t>Built the membership, churn, and engagement dashboards the team actually ran. Identified 11.7% annual churn; RFM segmentation retained 78% of high-risk customers.</w:t>
      </w:r>
    </w:p>
    <w:p>
      <w:pPr>
        <w:pStyle w:val="ListBullet"/>
        <w:spacing w:before="10" w:after="10" w:line="240" w:lineRule="auto"/>
        <w:ind w:left="461" w:hanging="202"/>
      </w:pPr>
      <w:r>
        <w:rPr>
          <w:rFonts w:ascii="Calibri" w:hAnsi="Calibri" w:cs="Calibri"/>
          <w:color w:val="44403C"/>
          <w:sz w:val="19"/>
        </w:rPr>
        <w:t>Led discovery for a mobile inspections product — field interviews, workflow mapping, prototypes, usability tests — and carried requirements through engineering and rollout.</w:t>
      </w:r>
    </w:p>
    <w:p>
      <w:pPr>
        <w:keepNext/>
        <w:spacing w:before="80" w:after="0" w:line="240" w:lineRule="auto"/>
      </w:pPr>
      <w:r>
        <w:rPr>
          <w:rFonts w:ascii="Calibri" w:hAnsi="Calibri" w:cs="Calibri"/>
          <w:b/>
          <w:color w:val="1C1917"/>
          <w:sz w:val="21"/>
        </w:rPr>
        <w:t>Strategy Consultant  |  180 Degrees Consulting — UBC</w:t>
      </w:r>
      <w:r>
        <w:rPr>
          <w:rFonts w:ascii="Calibri" w:hAnsi="Calibri" w:cs="Calibri"/>
          <w:color w:val="78716C"/>
          <w:sz w:val="18"/>
        </w:rPr>
        <w:t xml:space="preserve">    Sep 2020 – Oct 2021</w:t>
      </w:r>
    </w:p>
    <w:p>
      <w:pPr>
        <w:pStyle w:val="ListBullet"/>
        <w:spacing w:before="10" w:after="10" w:line="240" w:lineRule="auto"/>
        <w:ind w:left="461" w:hanging="202"/>
      </w:pPr>
      <w:r>
        <w:rPr>
          <w:rFonts w:ascii="Calibri" w:hAnsi="Calibri" w:cs="Calibri"/>
          <w:color w:val="44403C"/>
          <w:sz w:val="19"/>
        </w:rPr>
        <w:t>Customer research and market strategy for nonprofit and clean-energy clients. Acquisition work for Open Primaries cut bounce rate 37% and doubled subscriptions.</w:t>
      </w:r>
    </w:p>
    <w:p>
      <w:pPr>
        <w:keepNext/>
        <w:spacing w:before="80" w:after="0" w:line="240" w:lineRule="auto"/>
      </w:pPr>
      <w:r>
        <w:rPr>
          <w:rFonts w:ascii="Calibri" w:hAnsi="Calibri" w:cs="Calibri"/>
          <w:b/>
          <w:color w:val="1C1917"/>
          <w:sz w:val="21"/>
        </w:rPr>
        <w:t>SEO Consultant  |  Convertus</w:t>
      </w:r>
      <w:r>
        <w:rPr>
          <w:rFonts w:ascii="Calibri" w:hAnsi="Calibri" w:cs="Calibri"/>
          <w:color w:val="78716C"/>
          <w:sz w:val="18"/>
        </w:rPr>
        <w:t xml:space="preserve">    May 2018 – Jul 2019</w:t>
      </w:r>
    </w:p>
    <w:p>
      <w:pPr>
        <w:pStyle w:val="ListBullet"/>
        <w:spacing w:before="10" w:after="10" w:line="240" w:lineRule="auto"/>
        <w:ind w:left="461" w:hanging="202"/>
      </w:pPr>
      <w:r>
        <w:rPr>
          <w:rFonts w:ascii="Calibri" w:hAnsi="Calibri" w:cs="Calibri"/>
          <w:color w:val="44403C"/>
          <w:sz w:val="19"/>
        </w:rPr>
        <w:t>Analytics-led growth for 75+ sites (~150% organic performance) and a forecast that predicted results at ~85% accuracy.</w:t>
      </w:r>
    </w:p>
    <w:p>
      <w:pPr>
        <w:spacing w:before="20" w:after="20" w:line="240" w:lineRule="auto"/>
        <w:pBdr>
          <w:bottom w:val="single" w:sz="6" w:space="1" w:color="6D28D9"/>
        </w:pBdr>
      </w:pPr>
    </w:p>
    <w:p>
      <w:pPr>
        <w:keepNext/>
        <w:spacing w:before="80" w:after="20" w:line="240" w:lineRule="auto"/>
      </w:pPr>
      <w:r>
        <w:rPr>
          <w:rFonts w:ascii="Calibri" w:hAnsi="Calibri" w:cs="Calibri"/>
          <w:b/>
          <w:color w:val="6D28D9"/>
          <w:sz w:val="21"/>
        </w:rPr>
        <w:t>EDUCATION</w:t>
      </w:r>
    </w:p>
    <w:p>
      <w:pPr>
        <w:keepNext/>
        <w:spacing w:before="80" w:after="0" w:line="240" w:lineRule="auto"/>
      </w:pPr>
      <w:r>
        <w:rPr>
          <w:rFonts w:ascii="Calibri" w:hAnsi="Calibri" w:cs="Calibri"/>
          <w:b/>
          <w:color w:val="1C1917"/>
          <w:sz w:val="21"/>
        </w:rPr>
        <w:t>Master of Business Analytics  |  University of British Columbia</w:t>
      </w:r>
      <w:r>
        <w:rPr>
          <w:rFonts w:ascii="Calibri" w:hAnsi="Calibri" w:cs="Calibri"/>
          <w:color w:val="78716C"/>
          <w:sz w:val="18"/>
        </w:rPr>
        <w:t xml:space="preserve">    </w:t>
      </w:r>
    </w:p>
    <w:p>
      <w:pPr>
        <w:spacing w:before="0" w:after="0" w:line="240" w:lineRule="auto"/>
      </w:pPr>
      <w:r>
        <w:rPr>
          <w:rFonts w:ascii="Calibri" w:hAnsi="Calibri" w:cs="Calibri"/>
          <w:i w:val="0"/>
          <w:color w:val="78716C"/>
          <w:sz w:val="18"/>
        </w:rPr>
        <w:t>Python  ·  SQL  ·  Machine learning  ·  Optimization  ·  Product analytics</w:t>
      </w:r>
    </w:p>
    <w:p>
      <w:pPr>
        <w:keepNext/>
        <w:spacing w:before="80" w:after="0" w:line="240" w:lineRule="auto"/>
      </w:pPr>
      <w:r>
        <w:rPr>
          <w:rFonts w:ascii="Calibri" w:hAnsi="Calibri" w:cs="Calibri"/>
          <w:b/>
          <w:color w:val="1C1917"/>
          <w:sz w:val="21"/>
        </w:rPr>
        <w:t>Bachelor of Business Administration (Marketing)  |  British Columbia Institute of Technology</w:t>
      </w:r>
      <w:r>
        <w:rPr>
          <w:rFonts w:ascii="Calibri" w:hAnsi="Calibri" w:cs="Calibri"/>
          <w:color w:val="78716C"/>
          <w:sz w:val="18"/>
        </w:rPr>
        <w:t xml:space="preserve">    </w:t>
      </w:r>
    </w:p>
    <w:p>
      <w:pPr>
        <w:spacing w:before="20" w:after="20" w:line="240" w:lineRule="auto"/>
        <w:pBdr>
          <w:bottom w:val="single" w:sz="6" w:space="1" w:color="6D28D9"/>
        </w:pBdr>
      </w:pPr>
    </w:p>
    <w:p>
      <w:pPr>
        <w:keepNext/>
        <w:spacing w:before="80" w:after="20" w:line="240" w:lineRule="auto"/>
      </w:pPr>
      <w:r>
        <w:rPr>
          <w:rFonts w:ascii="Calibri" w:hAnsi="Calibri" w:cs="Calibri"/>
          <w:b/>
          <w:color w:val="6D28D9"/>
          <w:sz w:val="21"/>
        </w:rPr>
        <w:t>LEADERSHIP</w:t>
      </w:r>
    </w:p>
    <w:p>
      <w:pPr>
        <w:pStyle w:val="ListBullet"/>
        <w:spacing w:before="10" w:after="10" w:line="240" w:lineRule="auto"/>
        <w:ind w:left="461" w:hanging="202"/>
      </w:pPr>
      <w:r>
        <w:rPr>
          <w:rFonts w:ascii="Calibri" w:hAnsi="Calibri" w:cs="Calibri"/>
          <w:color w:val="44403C"/>
          <w:sz w:val="19"/>
        </w:rPr>
        <w:t>Speaker, ProductCamp BC (2025) — “How Legacy Industries Can Adopt a Product Mindset to Improve Service Delivery.” Mentor, ProductBC — discovery, strategy, and career development for aspiring product managers.</w:t>
      </w:r>
    </w:p>
    <w:p>
      <w:pPr>
        <w:spacing w:before="20" w:after="20" w:line="240" w:lineRule="auto"/>
        <w:pBdr>
          <w:bottom w:val="single" w:sz="6" w:space="1" w:color="6D28D9"/>
        </w:pBdr>
      </w:pPr>
    </w:p>
    <w:p>
      <w:pPr>
        <w:keepNext/>
        <w:spacing w:before="80" w:after="20" w:line="240" w:lineRule="auto"/>
      </w:pPr>
      <w:r>
        <w:rPr>
          <w:rFonts w:ascii="Calibri" w:hAnsi="Calibri" w:cs="Calibri"/>
          <w:b/>
          <w:color w:val="6D28D9"/>
          <w:sz w:val="21"/>
        </w:rPr>
        <w:t>SKILLS</w:t>
      </w:r>
    </w:p>
    <w:p>
      <w:pPr>
        <w:spacing w:before="20" w:after="0" w:line="240" w:lineRule="auto"/>
      </w:pPr>
      <w:r>
        <w:rPr>
          <w:rFonts w:ascii="Calibri" w:hAnsi="Calibri" w:cs="Calibri"/>
          <w:b/>
          <w:color w:val="5B21B6"/>
          <w:sz w:val="18"/>
        </w:rPr>
        <w:t xml:space="preserve">Product:  </w:t>
      </w:r>
      <w:r>
        <w:rPr>
          <w:rFonts w:ascii="Calibri" w:hAnsi="Calibri" w:cs="Calibri"/>
          <w:color w:val="44403C"/>
          <w:sz w:val="18"/>
        </w:rPr>
        <w:t>Roadmaps  ·  Specs and acceptance criteria  ·  Root-cause prioritization  ·  Pilots, go-lives, customer calls</w:t>
      </w:r>
    </w:p>
    <w:p>
      <w:pPr>
        <w:spacing w:before="20" w:after="0" w:line="240" w:lineRule="auto"/>
      </w:pPr>
      <w:r>
        <w:rPr>
          <w:rFonts w:ascii="Calibri" w:hAnsi="Calibri" w:cs="Calibri"/>
          <w:b/>
          <w:color w:val="5B21B6"/>
          <w:sz w:val="18"/>
        </w:rPr>
        <w:t xml:space="preserve">Payer operations:  </w:t>
      </w:r>
      <w:r>
        <w:rPr>
          <w:rFonts w:ascii="Calibri" w:hAnsi="Calibri" w:cs="Calibri"/>
          <w:color w:val="44403C"/>
          <w:sz w:val="18"/>
        </w:rPr>
        <w:t>Coverage rules  ·  Authorization  ·  Fee schedules  ·  Eligibility  ·  Portal, fax, and API intake  ·  Human escalation</w:t>
      </w:r>
    </w:p>
    <w:p>
      <w:pPr>
        <w:spacing w:before="20" w:after="0" w:line="240" w:lineRule="auto"/>
      </w:pPr>
      <w:r>
        <w:rPr>
          <w:rFonts w:ascii="Calibri" w:hAnsi="Calibri" w:cs="Calibri"/>
          <w:b/>
          <w:color w:val="5B21B6"/>
          <w:sz w:val="18"/>
        </w:rPr>
        <w:t xml:space="preserve">Data and systems:  </w:t>
      </w:r>
      <w:r>
        <w:rPr>
          <w:rFonts w:ascii="Calibri" w:hAnsi="Calibri" w:cs="Calibri"/>
          <w:color w:val="44403C"/>
          <w:sz w:val="18"/>
        </w:rPr>
        <w:t>SQL  ·  Python  ·  PostHog  ·  Success rate, turnaround, error rate, cost  ·  REST APIs  ·  EMR integrations</w:t>
      </w:r>
    </w:p>
    <w:p>
      <w:pPr>
        <w:spacing w:before="20" w:after="0" w:line="240" w:lineRule="auto"/>
      </w:pPr>
      <w:r>
        <w:rPr>
          <w:rFonts w:ascii="Calibri" w:hAnsi="Calibri" w:cs="Calibri"/>
          <w:b/>
          <w:color w:val="5B21B6"/>
          <w:sz w:val="18"/>
        </w:rPr>
        <w:t xml:space="preserve">AI:  </w:t>
      </w:r>
      <w:r>
        <w:rPr>
          <w:rFonts w:ascii="Calibri" w:hAnsi="Calibri" w:cs="Calibri"/>
          <w:color w:val="44403C"/>
          <w:sz w:val="18"/>
        </w:rPr>
        <w:t>Human-in-the-loop workflows  ·  LLM retrieval with evidence traces  ·  NLP routing  ·  AI-assisted prototyping</w:t>
      </w:r>
    </w:p>
    <w:sectPr w:rsidR="00FC693F" w:rsidRPr="0006063C" w:rsidSect="00034616">
      <w:pgSz w:w="12240" w:h="15840"/>
      <w:pgMar w:top="720" w:right="964" w:bottom="652"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isplayBackgroundShap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color w:val="44403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0" w:line="240" w:lineRule="auto"/>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khushdodani" TargetMode="External"/><Relationship Id="rId10" Type="http://schemas.openxmlformats.org/officeDocument/2006/relationships/hyperlink" Target="https://github.com/kdodani" TargetMode="External"/><Relationship Id="rId11" Type="http://schemas.openxmlformats.org/officeDocument/2006/relationships/hyperlink" Target="https://kdodani-portfolio.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