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9F6"/>
  <w:body>
    <w:p>
      <w:pPr>
        <w:spacing w:before="0" w:after="40"/>
        <w:jc w:val="center"/>
      </w:pPr>
      <w:r>
        <w:rPr>
          <w:b/>
          <w:color w:val="1C1917"/>
          <w:sz w:val="36"/>
        </w:rPr>
        <w:t>KHUSHBOO DODANI</w:t>
      </w:r>
    </w:p>
    <w:p>
      <w:pPr>
        <w:spacing w:before="0" w:after="40"/>
        <w:jc w:val="center"/>
      </w:pPr>
      <w:r>
        <w:rPr>
          <w:color w:val="78716C"/>
          <w:sz w:val="18"/>
        </w:rPr>
        <w:t xml:space="preserve">San Francisco Bay Area  |  khushdodani@gmail.com  |  </w:t>
      </w:r>
      <w:hyperlink r:id="rId9">
        <w:r>
          <w:rPr>
            <w:color w:val="78716C"/>
            <w:sz w:val="18"/>
            <w:szCs w:val="18"/>
            <w:u w:val="single"/>
          </w:rPr>
          <w:t xml:space="preserve">LinkedIn</w:t>
        </w:r>
      </w:hyperlink>
      <w:r>
        <w:rPr>
          <w:color w:val="78716C"/>
          <w:sz w:val="18"/>
        </w:rPr>
        <w:t xml:space="preserve">  |  </w:t>
      </w:r>
      <w:hyperlink r:id="rId10">
        <w:r>
          <w:rPr>
            <w:color w:val="78716C"/>
            <w:sz w:val="18"/>
            <w:szCs w:val="18"/>
            <w:u w:val="single"/>
          </w:rPr>
          <w:t xml:space="preserve">GitHub</w:t>
        </w:r>
      </w:hyperlink>
      <w:r>
        <w:rPr>
          <w:color w:val="78716C"/>
          <w:sz w:val="18"/>
        </w:rPr>
        <w:t xml:space="preserve">  |  </w:t>
      </w:r>
      <w:hyperlink r:id="rId11">
        <w:r>
          <w:rPr>
            <w:color w:val="78716C"/>
            <w:sz w:val="18"/>
            <w:szCs w:val="18"/>
            <w:u w:val="single"/>
          </w:rPr>
          <w:t xml:space="preserve">Portfolio</w:t>
        </w:r>
      </w:hyperlink>
    </w:p>
    <w:p>
      <w:pPr>
        <w:spacing w:before="40" w:after="40"/>
        <w:jc w:val="center"/>
      </w:pPr>
      <w:r>
        <w:rPr>
          <w:b/>
          <w:color w:val="6D28D9"/>
          <w:sz w:val="24"/>
        </w:rPr>
        <w:t>GROWTH PRODUCT MANAGER</w:t>
      </w:r>
    </w:p>
    <w:p>
      <w:pPr>
        <w:spacing w:before="20" w:after="80"/>
        <w:jc w:val="center"/>
      </w:pPr>
      <w:r>
        <w:rPr>
          <w:color w:val="5B21B6"/>
          <w:sz w:val="18"/>
        </w:rPr>
        <w:t>Activation  •  Conversion  •  Matching &amp; Recommendations  •  Experimentation</w:t>
      </w:r>
    </w:p>
    <w:p>
      <w:pPr>
        <w:spacing w:before="20" w:after="20"/>
        <w:pBdr>
          <w:bottom w:val="single" w:sz="6" w:space="1" w:color="6D28D9"/>
        </w:pBdr>
      </w:pPr>
    </w:p>
    <w:p>
      <w:pPr>
        <w:spacing w:before="60" w:after="40"/>
      </w:pPr>
      <w:r>
        <w:rPr>
          <w:i w:val="0"/>
          <w:color w:val="44403C"/>
          <w:sz w:val="19"/>
        </w:rPr>
        <w:t>Growth Product Manager focused on activation, conversion, and retention across user funnels. Proven track record increasing conversion and digital adoption through experimentation, segmentation, and behavioral insights.</w:t>
      </w:r>
    </w:p>
    <w:p>
      <w:pPr>
        <w:spacing w:before="0" w:after="40"/>
      </w:pPr>
      <w:r>
        <w:rPr>
          <w:i w:val="0"/>
          <w:color w:val="44403C"/>
          <w:sz w:val="19"/>
        </w:rPr>
        <w:t>Owned onboarding and first-success experiences for products used by thousands of users, improving activation rates (39% → 55%) and reducing drop-off through funnel redesign and targeted GTM. Experienced partnering with marketing on acquisition strategies and building analytics-driven experimentation systems.</w:t>
      </w:r>
    </w:p>
    <w:p>
      <w:pPr>
        <w:spacing w:before="0" w:after="60"/>
      </w:pPr>
      <w:r>
        <w:rPr>
          <w:i w:val="0"/>
          <w:color w:val="44403C"/>
          <w:sz w:val="19"/>
        </w:rPr>
        <w:t>Background in SEO and acquisition growth (+150% organic), retention (RFM-based experimentation), and AI-powered product experiences.</w:t>
      </w:r>
    </w:p>
    <w:p>
      <w:pPr>
        <w:spacing w:before="20" w:after="20"/>
        <w:pBdr>
          <w:bottom w:val="single" w:sz="6" w:space="1" w:color="6D28D9"/>
        </w:pBdr>
      </w:pPr>
    </w:p>
    <w:p>
      <w:pPr>
        <w:keepNext/>
        <w:spacing w:before="100" w:after="40"/>
      </w:pPr>
      <w:r>
        <w:rPr>
          <w:b/>
          <w:color w:val="6D28D9"/>
          <w:sz w:val="21"/>
        </w:rPr>
        <w:t>EXPERIENCE</w:t>
      </w:r>
    </w:p>
    <w:p>
      <w:pPr>
        <w:keepNext/>
        <w:spacing w:before="80" w:after="20"/>
      </w:pPr>
      <w:r>
        <w:rPr>
          <w:b/>
          <w:color w:val="1C1917"/>
          <w:sz w:val="20"/>
        </w:rPr>
        <w:t>Product Manager — Activation, Conversion &amp; Matching  |  WorkSafeBC</w:t>
      </w:r>
      <w:r>
        <w:rPr>
          <w:b w:val="0"/>
          <w:color w:val="78716C"/>
          <w:sz w:val="18"/>
        </w:rPr>
        <w:t xml:space="preserve">    Apr 2024 – Present</w:t>
      </w:r>
    </w:p>
    <w:p>
      <w:pPr>
        <w:spacing w:before="0" w:after="60"/>
      </w:pPr>
      <w:r>
        <w:rPr>
          <w:i w:val="0"/>
          <w:color w:val="78716C"/>
          <w:sz w:val="18"/>
        </w:rPr>
        <w:t>Own onboarding and first-success for products used by 5,600 users across 500 organizations (62K+ annual transactions). Diagnose why high-value segments do not convert, rebuild the funnel, and instrument it before launch.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Growth diagnosis — Pareto targeting, not broad GTM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Analyzed 3.7M line items: 8.7% digital share and 322K lines/year already converting — PMF for one segment, but the product had structurally run out of room to grow.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Pareto / power-law: 25 of 3,795 organizations (&lt;1%) generated 50% of remaining volume (~280K lines). Constraint was a capacity ceiling (1 claim per submit, 11 screens, ~32-line cap), not training. Focused product and GTM on that cohort instead of communications to all 3,795.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Activation &amp; conversion — first successful submit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Rebuilt the high-volume funnel for throughput: multi-claim / multi-invoice, line duplication, 11 screens → 5. First-pass success as the conversion metric — validation so invalid submissions fail at submit (−40%). Product share 39% → 55%; paper 56% → 19% (~3×); digital adoption to 60% in six months; support −30%; NPS +25; ~$200K annual operational savings.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Secured $580K in executive funding to scale the rebuild across the high-value segment — business case on named accounts and blocked volume, not a generic adoption story.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Partnered with marketing and communications on targeted acquisition and activation strategies, aligning on conversion, adoption, and cost-to-serve metrics.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Experimentation, funnels &amp; onboarding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Wrote the PostHog spec before launch (conversion, drop-off, v1 vs v2, high-volume activation). Staged cohort rollout as a holdout: dark launch to 10 named orgs → soft launch (v2 default, v1 via banner) → hard launch. 322K existing digital lines/year uninterrupted while the new segment activated.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First month after ship: near-zero adoption despite a better product. Session data showed users missed the duplicate-line control and re-entered work by hand — onboarding and discoverability, not a feature gap. Iterated GTM and in-product visibility.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Demand-tested in discovery: removed a control from a prototype in a second round to see whether users missed it, ignored it, or created demand. Split GTM by segment after one launch narrative failed to convert every cohort — different value props and channels, not one message.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Matching, recommendations &amp; AI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Built Referral Radar, an LLM/RAG recommendation product that ranks next-best matches from 20–75 unstructured documents per case — priority, evidence traces, natural-language search, inspectable agent path. Rejected a ranked list with no why. Humans retain the decision. 2nd of 36 at InnoFest 2025. Unblocked with SME-validated synthetic data; prototyped with Lovable, GitHub Copilot, and n8n.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Channel strategy &amp; first-use activation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One surface could not convert every segment. Three distribution paths: rebuilt portal (high-volume), vendor/partner channel (users already in Blueprint — bottom-up demand via ops who hold daily relationships), and in-workflow API (users will not leave their system of record). $80K funding; roadmap covering ~70% of the ecosystem.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Identity cutover as an activation campaign: 28-day multi-channel treatments (in-product banners, admin email, program-manager channels). Targeted 500 org admins as multipliers instead of 5,600 individuals with no email on file. 100% of active accounts transitioned; 0 service disruptions.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On an $80M workflow, analyzed 139K historical requests (79% always approved). Killed auto-approve. Killed a “ping when stuck” feature after aging data showed most requests resolve within 3 days. Segmented users by workflow role (admin submits, practitioner delivers) — behavior predicted adoption better than org type.</w:t>
      </w:r>
    </w:p>
    <w:p>
      <w:pPr>
        <w:keepNext/>
        <w:spacing w:before="80" w:after="20"/>
      </w:pPr>
      <w:r>
        <w:rPr>
          <w:b/>
          <w:color w:val="1C1917"/>
          <w:sz w:val="20"/>
        </w:rPr>
        <w:t>Product Manager — Retention &amp; Experimentation (promoted from Business Analyst)  |  Technical Safety BC</w:t>
      </w:r>
      <w:r>
        <w:rPr>
          <w:b w:val="0"/>
          <w:color w:val="78716C"/>
          <w:sz w:val="18"/>
        </w:rPr>
        <w:t xml:space="preserve">    Oct 2021 – Apr 2024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A/B testing, RFM &amp; retention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Built membership, churn, and engagement data products: 11.7% average annual churn. Applied RFM (recency, frequency, monetary) to score at-risk accounts instead of treating all customers as one cohort.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Ran targeted engagement treatments vs baseline outreach on high-risk RFM segments — control vs treatment, not a blanket campaign. Retained 78% of high-risk customers. Shipped a client-impact dashboard so operations could prioritize who to save next.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Matching, search &amp; shipped NLP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Shipped NLP classification into a live routing workflow: inbound requests scored by intent and urgency and matched to the right queue. Designed an internal retrieval product so support could search procedures and policy in context.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Led discovery for a mobile inspection platform — interviews, workflow mapping, prototyping, usability testing — and held engineering spend until the workflow was validated.</w:t>
      </w:r>
    </w:p>
    <w:p>
      <w:pPr>
        <w:keepNext/>
        <w:spacing w:before="80" w:after="20"/>
      </w:pPr>
      <w:r>
        <w:rPr>
          <w:b/>
          <w:color w:val="1C1917"/>
          <w:sz w:val="20"/>
        </w:rPr>
        <w:t>Strategy Consultant  |  180 Degrees Consulting — University of British Columbia</w:t>
      </w:r>
      <w:r>
        <w:rPr>
          <w:b w:val="0"/>
          <w:color w:val="78716C"/>
          <w:sz w:val="18"/>
        </w:rPr>
        <w:t xml:space="preserve">    Sep 2020 – Oct 2021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Designed and optimized consumer-facing landing pages and acquisition funnels for Open Primaries, reducing bounce rate by 37% and doubling user conversions. Built product and market strategies for nonprofit and clean-energy clients through customer research, segmentation, and funnel analysis.</w:t>
      </w:r>
    </w:p>
    <w:p>
      <w:pPr>
        <w:keepNext/>
        <w:spacing w:before="80" w:after="20"/>
      </w:pPr>
      <w:r>
        <w:rPr>
          <w:b/>
          <w:color w:val="1C1917"/>
          <w:sz w:val="20"/>
        </w:rPr>
        <w:t>SEO Consultant — Growth &amp; Analytics  |  Convertus</w:t>
      </w:r>
      <w:r>
        <w:rPr>
          <w:b w:val="0"/>
          <w:color w:val="78716C"/>
          <w:sz w:val="18"/>
        </w:rPr>
        <w:t xml:space="preserve">    May 2018 – Jul 2019</w:t>
      </w:r>
    </w:p>
    <w:p>
      <w:pPr>
        <w:pStyle w:val="ListBullet"/>
        <w:spacing w:before="0" w:after="20"/>
        <w:ind w:left="576" w:hanging="288"/>
      </w:pPr>
      <w:r>
        <w:rPr>
          <w:color w:val="44403C"/>
          <w:sz w:val="19"/>
        </w:rPr>
        <w:t>Owned organic acquisition for 75+ consumer-facing digital properties — growth experimentation, performance optimization, and a forecasting model predicting SEO performance with ~85% accuracy so channel investment followed projected return. Organic performance ~+150%.</w:t>
      </w:r>
    </w:p>
    <w:p>
      <w:pPr>
        <w:spacing w:before="20" w:after="20"/>
        <w:pBdr>
          <w:bottom w:val="single" w:sz="6" w:space="1" w:color="6D28D9"/>
        </w:pBdr>
      </w:pPr>
    </w:p>
    <w:p>
      <w:pPr>
        <w:keepNext/>
        <w:spacing w:before="100" w:after="40"/>
      </w:pPr>
      <w:r>
        <w:rPr>
          <w:b/>
          <w:color w:val="6D28D9"/>
          <w:sz w:val="21"/>
        </w:rPr>
        <w:t>EDUCATION</w:t>
      </w:r>
    </w:p>
    <w:p>
      <w:pPr>
        <w:keepNext/>
        <w:spacing w:before="80" w:after="20"/>
      </w:pPr>
      <w:r>
        <w:rPr>
          <w:b/>
          <w:color w:val="1C1917"/>
          <w:sz w:val="20"/>
        </w:rPr>
        <w:t>Master of Business Analytics  |  University of British Columbia — Sauder School of Business</w:t>
      </w:r>
      <w:r>
        <w:rPr>
          <w:b w:val="0"/>
          <w:color w:val="78716C"/>
          <w:sz w:val="18"/>
        </w:rPr>
        <w:t xml:space="preserve">    </w:t>
      </w:r>
    </w:p>
    <w:p>
      <w:pPr>
        <w:spacing w:before="0" w:after="20"/>
      </w:pPr>
      <w:r>
        <w:rPr>
          <w:i w:val="0"/>
          <w:color w:val="78716C"/>
          <w:sz w:val="18"/>
        </w:rPr>
        <w:t>Probability and uncertainty (BABS 506)  •  Clustering / predictive analytics (BABS 507)  •  Regression, logistic, discrete choice (BABS 508)  •  Forecasting (BABS 502)  •  Data-driven marketing (BAMA 517)  •  Customer analytics (BAMA 520)  •  ML applications  •  SQL / Python. Applied as RFM, Pareto, funnels, and hypothesis → metric → decision rule.</w:t>
      </w:r>
    </w:p>
    <w:p>
      <w:pPr>
        <w:keepNext/>
        <w:spacing w:before="80" w:after="20"/>
      </w:pPr>
      <w:r>
        <w:rPr>
          <w:b/>
          <w:color w:val="1C1917"/>
          <w:sz w:val="20"/>
        </w:rPr>
        <w:t>Bachelor of Business Administration (Marketing)  |  British Columbia Institute of Technology</w:t>
      </w:r>
      <w:r>
        <w:rPr>
          <w:b w:val="0"/>
          <w:color w:val="78716C"/>
          <w:sz w:val="18"/>
        </w:rPr>
        <w:t xml:space="preserve">    </w:t>
      </w:r>
    </w:p>
    <w:p>
      <w:pPr>
        <w:spacing w:before="0" w:after="20"/>
      </w:pPr>
      <w:r>
        <w:rPr>
          <w:i w:val="0"/>
          <w:color w:val="78716C"/>
          <w:sz w:val="18"/>
        </w:rPr>
        <w:t>Consumer behavior, segmentation, and go-to-market.</w:t>
      </w:r>
    </w:p>
    <w:p>
      <w:pPr>
        <w:spacing w:before="20" w:after="20"/>
        <w:pBdr>
          <w:bottom w:val="single" w:sz="6" w:space="1" w:color="6D28D9"/>
        </w:pBdr>
      </w:pPr>
    </w:p>
    <w:p>
      <w:pPr>
        <w:keepNext/>
        <w:spacing w:before="100" w:after="40"/>
      </w:pPr>
      <w:r>
        <w:rPr>
          <w:b/>
          <w:color w:val="6D28D9"/>
          <w:sz w:val="21"/>
        </w:rPr>
        <w:t>LEADERSHIP</w:t>
      </w:r>
    </w:p>
    <w:p>
      <w:pPr>
        <w:spacing w:before="20" w:after="40"/>
      </w:pPr>
      <w:r>
        <w:rPr>
          <w:i w:val="0"/>
          <w:color w:val="44403C"/>
          <w:sz w:val="18"/>
        </w:rPr>
        <w:t>Speaker, ProductCamp BC (2025) — “How Legacy Industries Can Adopt a Product Mindset to Improve Service Delivery.”   Mentor, ProductBC — product discovery, strategy, and career development.</w:t>
      </w:r>
    </w:p>
    <w:p>
      <w:pPr>
        <w:spacing w:before="20" w:after="20"/>
        <w:pBdr>
          <w:bottom w:val="single" w:sz="6" w:space="1" w:color="6D28D9"/>
        </w:pBdr>
      </w:pPr>
    </w:p>
    <w:p>
      <w:pPr>
        <w:keepNext/>
        <w:spacing w:before="100" w:after="40"/>
      </w:pPr>
      <w:r>
        <w:rPr>
          <w:b/>
          <w:color w:val="6D28D9"/>
          <w:sz w:val="21"/>
        </w:rPr>
        <w:t>SKILLS</w:t>
      </w:r>
    </w:p>
    <w:p>
      <w:pPr>
        <w:spacing w:before="20" w:after="20"/>
      </w:pPr>
      <w:r>
        <w:rPr>
          <w:b/>
          <w:color w:val="5B21B6"/>
          <w:sz w:val="18"/>
        </w:rPr>
        <w:t xml:space="preserve">Growth:  </w:t>
      </w:r>
      <w:r>
        <w:rPr>
          <w:color w:val="44403C"/>
          <w:sz w:val="18"/>
        </w:rPr>
        <w:t>Activation  •  Conversion  •  Onboarding  •  Funnel Optimization  •  Pareto  •  Segmentation  •  Retention  •  RFM  •  A/B Testing  •  Staged Launches  •  PostHog  •  Recommendations  •  LLM / RAG  •  NLP</w:t>
      </w:r>
    </w:p>
    <w:p>
      <w:pPr>
        <w:spacing w:before="20" w:after="20"/>
      </w:pPr>
      <w:r>
        <w:rPr>
          <w:b/>
          <w:color w:val="5B21B6"/>
          <w:sz w:val="18"/>
        </w:rPr>
        <w:t xml:space="preserve">Growth metrics:  </w:t>
      </w:r>
      <w:r>
        <w:rPr>
          <w:color w:val="44403C"/>
          <w:sz w:val="18"/>
        </w:rPr>
        <w:t>Conversion Rate  •  Activation  •  Retention  •  Funnel Drop-off  •  CAC  •  LTV  •  Acquisition Channels  •  Monetization  •  Customer Analytics  •  SQL  •  Python  •  Forecasting</w:t>
      </w:r>
    </w:p>
    <w:sectPr w:rsidR="00FC693F" w:rsidRPr="0006063C" w:rsidSect="00034616">
      <w:pgSz w:w="12240" w:h="15840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hushdodani" TargetMode="External"/><Relationship Id="rId10" Type="http://schemas.openxmlformats.org/officeDocument/2006/relationships/hyperlink" Target="https://github.com/kdodani" TargetMode="External"/><Relationship Id="rId11" Type="http://schemas.openxmlformats.org/officeDocument/2006/relationships/hyperlink" Target="https://kdodani-portfolio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