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 — 0→1 PRODUCTS, GROWTH &amp; OWNERSHIP</w:t>
      </w:r>
    </w:p>
    <w:p>
      <w:pPr>
        <w:spacing w:before="20" w:after="80"/>
        <w:jc w:val="center"/>
      </w:pPr>
      <w:r>
        <w:rPr>
          <w:color w:val="5B21B6"/>
          <w:sz w:val="18"/>
        </w:rPr>
        <w:t>Consumer-Scale Growth  •  0→1 Launches  •  Insurance Workflows  •  Unit Economics  •  AI-Native Product</w:t>
      </w:r>
    </w:p>
    <w:p>
      <w:pPr>
        <w:spacing w:before="20" w:after="20"/>
        <w:pBdr>
          <w:bottom w:val="single" w:sz="6" w:space="1" w:color="6D28D9"/>
        </w:pBdr>
      </w:pPr>
    </w:p>
    <w:p>
      <w:pPr>
        <w:spacing w:before="60" w:after="40"/>
      </w:pPr>
      <w:r>
        <w:rPr>
          <w:i w:val="0"/>
          <w:color w:val="44403C"/>
          <w:sz w:val="19"/>
        </w:rPr>
        <w:t>Product manager with 5 years in product who owns the outcome, not the ticket: finds the real constraint in the data, ships the fix, and measures the lift. At WorkSafeBC, British Columbia’s workers’ compensation insurer, grew digital share 39% → 55% and cut paper 56% → 19% for 5,600 users (62K+ annual transactions), and won $580K in executive funding to scale it. $1.2M+ in total funding secured.</w:t>
      </w:r>
    </w:p>
    <w:p>
      <w:pPr>
        <w:spacing w:before="0" w:after="60"/>
      </w:pPr>
      <w:r>
        <w:rPr>
          <w:i w:val="0"/>
          <w:color w:val="44403C"/>
          <w:sz w:val="19"/>
        </w:rPr>
        <w:t>Builds 0→1 when the path is blocked: shipped an LLM recommendation product (2nd of 36, InnoFest 2025) on synthetic data and no-code tools with no engineering spend, and an API-native integration POC that won $80K. Insurance eligibility, rules, and claims are home turf. Growth roots in consumer funnels: doubled subscriptions, cut bounce rate 37%, grew organic traffic ~150%. Master of Business Analytics; BBA in Marketing.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Growth, 0→1 Products &amp; AI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spacing w:before="0" w:after="60"/>
      </w:pPr>
      <w:r>
        <w:rPr>
          <w:i w:val="0"/>
          <w:color w:val="78716C"/>
          <w:sz w:val="18"/>
        </w:rPr>
        <w:t>Own the provider billing, eligibility, and identity products for a provincial insurer: 5,600 users across 500 organizations, 62K+ annual transactions. Validate with customers, data, and prototypes before engineering invests.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Growth and unit economics: find the constraint, fix it, measure it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Analyzed 3.7M line items: 322K lines/year already converting, so product-market fit existed for one segment. 25 of 3,795 organizations (&lt;1%) generated 50% of remaining volume (~280K lines). The constraint was a capacity ceiling, not training, so product and go-to-market focused on that cohort instead of a broad campaign.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Rebuilt the high-volume flow (multi-claim, in-product validation, 11 screens → 5). Portal share 39% → 55%; paper 56% → 19% (~3×); digital adoption 60% in six months; support calls −30%; NPS +25; ~$200K annual savings (~$50K lower cost-to-process). Secured $580K in executive funding to scale it.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Wrote the PostHog spec before launch (conversion, drop-off, v1 vs v2) and ran dark → soft → full launches so 322K existing lines/year stayed live. Month one showed near-zero adoption: users missed the duplicate-line control. Fixed visibility and go-to-market, not scope; split messaging by segment when one narrative failed.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Insurance workflows: eligibility, rules, and claims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Encoded fee schedules, contracted rates, and service codes as in-product validation and exposed contract eligibility on the invoice API, so invalid claims fail at submit instead of in ops cleanup. Invalid submissions −40%.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On an $80M program, analyzed 139K requests (79% always approved) and declined auto-approval because it would have weakened review on the largest spend. Shipped tracking, decision rationale, and error validation instead.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0→1 and AI-native: ship when the path is blocked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Referral Radar 0→1, an LLM/RAG product that ranks next-best matches from 20–75 unstructured documents per case, with evidence traces and natural-language search. Rejected a ranked list with no “why” after user feedback; humans keep the decision. 2nd of 36 at InnoFest 2025.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When production data was blocked, got SME-validated synthetic data and prototyped with Lovable, GitHub Copilot, and n8n, proving the concept with no engineering spend.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Led 0→1 discovery for an API-native integration after research showed users would not leave their system of record. POC validated March 2025; $80K funding; roadmap covering ~70% of the ecosystem across 50 EMR vendors.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Moved 5,600 users across 500 organizations through an identity cutover run as an activation campaign: 28-day multi-channel treatments, 500 org admins as multipliers. 100% of active accounts transitioned; 0 service disruptions.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Retention &amp; Revenue (promoted from BA)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lifetime-value and churn views across ~102,000 permits (11.7% annual churn; 78% of high-risk customers retained). RFM-targeted outreach vs. the existing call strategy, same two weeks and measures set first: $45,742 collected vs. $25,597 (78% more).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Designed a three-step reactivation sequence for 135 expired clients (~CAD 46.7K): 23% paid from the first email.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Shipped NLP classification into a live routing workflow, matching inbound requests to the right queue by intent and urgency. Led discovery for a mobile inspection platform and held engineering spend until the workflow was validated.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Optimized consumer-facing landing pages and acquisition funnels for Open Primaries, cutting bounce rate 37% and doubling subscriptions. Built market strategies for nonprofit and clean-energy clients through customer research and segmentation.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SEO Consultant — Growth &amp; Analytics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Owned organic acquisition for 75+ consumer-facing properties, lifting organic performance ~150%; built a forecasting model (~85% accuracy) so channel investment followed projected return.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Master of Business Analytics  |  University of British Columbia — Sauder School of Business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/>
      </w:pPr>
      <w:r>
        <w:rPr>
          <w:i w:val="0"/>
          <w:color w:val="78716C"/>
          <w:sz w:val="18"/>
        </w:rPr>
        <w:t>Customer analytics  •  Data-driven marketing  •  Forecasting  •  Python  •  SQL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LEADERSHIP</w:t>
      </w:r>
    </w:p>
    <w:p>
      <w:pPr>
        <w:spacing w:before="20" w:after="40"/>
      </w:pPr>
      <w:r>
        <w:rPr>
          <w:i w:val="0"/>
          <w:color w:val="44403C"/>
          <w:sz w:val="18"/>
        </w:rPr>
        <w:t>Speaker, ProductCamp BC (2025) — “How Legacy Industries Can Adopt a Product Mindset to Improve Service Delivery.”   Mentor, ProductBC — product discovery, strategy, and career development.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SKILLS</w:t>
      </w:r>
    </w:p>
    <w:p>
      <w:pPr>
        <w:spacing w:before="20" w:after="20"/>
      </w:pPr>
      <w:r>
        <w:rPr>
          <w:b/>
          <w:color w:val="5B21B6"/>
          <w:sz w:val="18"/>
        </w:rPr>
        <w:t xml:space="preserve">Product &amp; growth:  </w:t>
      </w:r>
      <w:r>
        <w:rPr>
          <w:color w:val="44403C"/>
          <w:sz w:val="18"/>
        </w:rPr>
        <w:t>0→1 Launches  •  Product Strategy  •  Roadmaps  •  Activation &amp; Onboarding  •  Distribution  •  Executive Business Cases  •  Staged Launches</w:t>
      </w:r>
    </w:p>
    <w:p>
      <w:pPr>
        <w:spacing w:before="20" w:after="20"/>
      </w:pPr>
      <w:r>
        <w:rPr>
          <w:b/>
          <w:color w:val="5B21B6"/>
          <w:sz w:val="18"/>
        </w:rPr>
        <w:t xml:space="preserve">Analytics &amp; experimentation:  </w:t>
      </w:r>
      <w:r>
        <w:rPr>
          <w:color w:val="44403C"/>
          <w:sz w:val="18"/>
        </w:rPr>
        <w:t>PostHog  •  Funnel &amp; Cohort Analysis  •  A/B Testing  •  SQL  •  Python  •  RFM  •  Lifetime Value  •  Forecasting</w:t>
      </w:r>
    </w:p>
    <w:p>
      <w:pPr>
        <w:spacing w:before="20" w:after="20"/>
      </w:pPr>
      <w:r>
        <w:rPr>
          <w:b/>
          <w:color w:val="5B21B6"/>
          <w:sz w:val="18"/>
        </w:rPr>
        <w:t xml:space="preserve">Insurance &amp; regulated workflows:  </w:t>
      </w:r>
      <w:r>
        <w:rPr>
          <w:color w:val="44403C"/>
          <w:sz w:val="18"/>
        </w:rPr>
        <w:t>Eligibility  •  Claims Validation  •  Fee Schedules &amp; Rates  •  Risk vs. Automation  •  Policy &amp; Compliance  •  REST APIs</w:t>
      </w:r>
    </w:p>
    <w:p>
      <w:pPr>
        <w:spacing w:before="20" w:after="20"/>
      </w:pPr>
      <w:r>
        <w:rPr>
          <w:b/>
          <w:color w:val="5B21B6"/>
          <w:sz w:val="18"/>
        </w:rPr>
        <w:t xml:space="preserve">AI &amp; prototyping:  </w:t>
      </w:r>
      <w:r>
        <w:rPr>
          <w:color w:val="44403C"/>
          <w:sz w:val="18"/>
        </w:rPr>
        <w:t>LLM / RAG Prototyping  •  NLP (shipped)  •  Human-in-the-Loop Design  •  Lovable  •  GitHub Copilot  •  n8n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