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9F6"/>
  <w:body>
    <w:p w14:paraId="7C9E89F6" w14:textId="77777777" w:rsidR="0013107C" w:rsidRDefault="00000000">
      <w:pPr>
        <w:spacing w:after="20" w:line="240" w:lineRule="auto"/>
        <w:jc w:val="center"/>
      </w:pPr>
      <w:r>
        <w:rPr>
          <w:rFonts w:ascii="Calibri" w:hAnsi="Calibri" w:cs="Calibri"/>
          <w:b/>
          <w:color w:val="1C1917"/>
          <w:sz w:val="36"/>
        </w:rPr>
        <w:t>KHUSHBOO DODANI</w:t>
      </w:r>
    </w:p>
    <w:p w14:paraId="691F8DE3" w14:textId="2EB501CA" w:rsidR="0013107C" w:rsidRDefault="00000000">
      <w:pPr>
        <w:spacing w:after="20" w:line="240" w:lineRule="auto"/>
        <w:jc w:val="center"/>
      </w:pPr>
      <w:r>
        <w:rPr>
          <w:rFonts w:ascii="Calibri" w:hAnsi="Calibri" w:cs="Calibri"/>
          <w:color w:val="78716C"/>
          <w:sz w:val="18"/>
        </w:rPr>
        <w:t xml:space="preserve">San Francisco Bay Area </w:t>
      </w:r>
      <w:r w:rsidR="0011613C">
        <w:rPr>
          <w:rFonts w:ascii="Calibri" w:hAnsi="Calibri" w:cs="Calibri"/>
          <w:color w:val="78716C"/>
          <w:sz w:val="18"/>
        </w:rPr>
        <w:t xml:space="preserve"> </w:t>
      </w:r>
      <w:r>
        <w:rPr>
          <w:rFonts w:ascii="Calibri" w:hAnsi="Calibri" w:cs="Calibri"/>
          <w:color w:val="78716C"/>
          <w:sz w:val="18"/>
        </w:rPr>
        <w:t xml:space="preserve">|  khushdodani@gmail.com  |  </w:t>
      </w:r>
      <w:hyperlink r:id="rId6">
        <w:r>
          <w:rPr>
            <w:rFonts w:ascii="Calibri" w:hAnsi="Calibri" w:cs="Calibri"/>
            <w:color w:val="78716C"/>
            <w:sz w:val="18"/>
            <w:szCs w:val="18"/>
            <w:u w:val="single"/>
          </w:rPr>
          <w:t>LinkedIn</w:t>
        </w:r>
      </w:hyperlink>
      <w:r>
        <w:rPr>
          <w:rFonts w:ascii="Calibri" w:hAnsi="Calibri" w:cs="Calibri"/>
          <w:color w:val="78716C"/>
          <w:sz w:val="18"/>
        </w:rPr>
        <w:t xml:space="preserve">  |  </w:t>
      </w:r>
      <w:hyperlink r:id="rId7">
        <w:r>
          <w:rPr>
            <w:rFonts w:ascii="Calibri" w:hAnsi="Calibri" w:cs="Calibri"/>
            <w:color w:val="78716C"/>
            <w:sz w:val="18"/>
            <w:szCs w:val="18"/>
            <w:u w:val="single"/>
          </w:rPr>
          <w:t>GitHub</w:t>
        </w:r>
      </w:hyperlink>
      <w:r>
        <w:rPr>
          <w:rFonts w:ascii="Calibri" w:hAnsi="Calibri" w:cs="Calibri"/>
          <w:color w:val="78716C"/>
          <w:sz w:val="18"/>
        </w:rPr>
        <w:t xml:space="preserve">  |  </w:t>
      </w:r>
      <w:hyperlink r:id="rId8">
        <w:r>
          <w:rPr>
            <w:rFonts w:ascii="Calibri" w:hAnsi="Calibri" w:cs="Calibri"/>
            <w:color w:val="78716C"/>
            <w:sz w:val="18"/>
            <w:szCs w:val="18"/>
            <w:u w:val="single"/>
          </w:rPr>
          <w:t>Portfolio</w:t>
        </w:r>
      </w:hyperlink>
    </w:p>
    <w:p w14:paraId="7A93307A" w14:textId="77777777" w:rsidR="0013107C" w:rsidRDefault="00000000">
      <w:pPr>
        <w:spacing w:before="20" w:after="20" w:line="240" w:lineRule="auto"/>
        <w:jc w:val="center"/>
      </w:pPr>
      <w:r>
        <w:rPr>
          <w:rFonts w:ascii="Calibri" w:hAnsi="Calibri" w:cs="Calibri"/>
          <w:b/>
          <w:color w:val="6D28D9"/>
          <w:sz w:val="24"/>
        </w:rPr>
        <w:t>PRODUCT MANAGER</w:t>
      </w:r>
    </w:p>
    <w:p w14:paraId="7BB7B18D" w14:textId="77777777" w:rsidR="0013107C" w:rsidRDefault="00000000">
      <w:pPr>
        <w:spacing w:after="40" w:line="240" w:lineRule="auto"/>
        <w:jc w:val="center"/>
      </w:pPr>
      <w:r>
        <w:rPr>
          <w:rFonts w:ascii="Calibri" w:hAnsi="Calibri" w:cs="Calibri"/>
          <w:color w:val="5B21B6"/>
          <w:sz w:val="18"/>
        </w:rPr>
        <w:t>Clinician Adoption  •  AI-Assisted Workflows  •  Regulated Healthcare  •  Ships with Cursor</w:t>
      </w:r>
    </w:p>
    <w:p w14:paraId="51236A87" w14:textId="77777777" w:rsidR="0013107C" w:rsidRDefault="0013107C">
      <w:pPr>
        <w:pBdr>
          <w:bottom w:val="single" w:sz="6" w:space="1" w:color="6D28D9"/>
        </w:pBdr>
        <w:spacing w:before="20" w:after="20" w:line="240" w:lineRule="auto"/>
      </w:pPr>
    </w:p>
    <w:p w14:paraId="51351703" w14:textId="072D3D40" w:rsidR="0013107C" w:rsidRPr="0011613C" w:rsidRDefault="0011613C" w:rsidP="0011613C">
      <w:pPr>
        <w:spacing w:before="40" w:after="20" w:line="240" w:lineRule="auto"/>
        <w:rPr>
          <w:rFonts w:asciiTheme="majorHAnsi" w:hAnsiTheme="majorHAnsi" w:cstheme="majorHAnsi"/>
          <w:color w:val="44403C"/>
          <w:sz w:val="19"/>
          <w:szCs w:val="19"/>
          <w:lang w:val="en-CA"/>
        </w:rPr>
      </w:pPr>
      <w:r w:rsidRPr="0011613C">
        <w:rPr>
          <w:rFonts w:asciiTheme="majorHAnsi" w:hAnsiTheme="majorHAnsi" w:cstheme="majorHAnsi"/>
          <w:color w:val="44403C"/>
          <w:sz w:val="19"/>
          <w:szCs w:val="19"/>
          <w:lang w:val="en-CA"/>
        </w:rPr>
        <w:t>Product Manager with 5+ years of experience building and improving products in regulated healthcare. Turns provider interviews, support signals, and product analytics into simpler workflows that drive adoption. Shipped an invoicing rebuild that increased digital adoption to 60%, built a clinical LLM/RAG prototype in two weeks, and opened engineer-reviewed pull requests merged into production. Hands-on with Cursor, React, and Next.js, with experience balancing workflow automation, privacy constraints, and human clinical judgment.</w:t>
      </w:r>
    </w:p>
    <w:p w14:paraId="7CC0AB13" w14:textId="77777777" w:rsidR="0013107C" w:rsidRDefault="0013107C">
      <w:pPr>
        <w:pBdr>
          <w:bottom w:val="single" w:sz="6" w:space="1" w:color="6D28D9"/>
        </w:pBdr>
        <w:spacing w:before="20" w:after="20" w:line="240" w:lineRule="auto"/>
      </w:pPr>
    </w:p>
    <w:p w14:paraId="066FE1B4" w14:textId="77777777" w:rsidR="0013107C" w:rsidRDefault="00000000">
      <w:pPr>
        <w:keepNext/>
        <w:spacing w:before="120" w:after="20" w:line="240" w:lineRule="auto"/>
      </w:pPr>
      <w:r>
        <w:rPr>
          <w:rFonts w:ascii="Calibri" w:hAnsi="Calibri" w:cs="Calibri"/>
          <w:b/>
          <w:color w:val="6D28D9"/>
          <w:sz w:val="21"/>
        </w:rPr>
        <w:t>EXPERIENCE</w:t>
      </w:r>
    </w:p>
    <w:p w14:paraId="0D327C27" w14:textId="77777777" w:rsidR="0013107C" w:rsidRDefault="00000000">
      <w:pPr>
        <w:keepNext/>
        <w:spacing w:before="60" w:after="0" w:line="240" w:lineRule="auto"/>
      </w:pPr>
      <w:r>
        <w:rPr>
          <w:rFonts w:ascii="Calibri" w:hAnsi="Calibri" w:cs="Calibri"/>
          <w:b/>
          <w:color w:val="1C1917"/>
          <w:sz w:val="20"/>
        </w:rPr>
        <w:t>Product Manager — Adoption &amp; Clinical Workflows  |  WorkSafeBC</w:t>
      </w:r>
      <w:r>
        <w:rPr>
          <w:rFonts w:ascii="Calibri" w:hAnsi="Calibri" w:cs="Calibri"/>
          <w:color w:val="78716C"/>
          <w:sz w:val="18"/>
        </w:rPr>
        <w:t xml:space="preserve">    Apr 2024 – Present</w:t>
      </w:r>
    </w:p>
    <w:p w14:paraId="64D19BC3" w14:textId="77777777" w:rsidR="0013107C" w:rsidRDefault="00000000">
      <w:pPr>
        <w:keepNext/>
        <w:spacing w:before="20" w:after="0" w:line="240" w:lineRule="auto"/>
      </w:pPr>
      <w:r>
        <w:rPr>
          <w:rFonts w:ascii="Calibri" w:hAnsi="Calibri" w:cs="Calibri"/>
          <w:i/>
          <w:color w:val="4F46E5"/>
          <w:sz w:val="18"/>
        </w:rPr>
        <w:t>Adoption, experiments, and support</w:t>
      </w:r>
    </w:p>
    <w:p w14:paraId="3F1713B0" w14:textId="77777777" w:rsidR="00A16CF3" w:rsidRDefault="0011613C" w:rsidP="00A16CF3">
      <w:pPr>
        <w:pStyle w:val="ListBullet"/>
        <w:numPr>
          <w:ilvl w:val="0"/>
          <w:numId w:val="10"/>
        </w:numPr>
        <w:rPr>
          <w:color w:val="44403C"/>
        </w:rPr>
      </w:pPr>
      <w:r w:rsidRPr="0011613C">
        <w:rPr>
          <w:color w:val="44403C"/>
        </w:rPr>
        <w:t>Interviewed physicians, physiotherapists, and office administrators to identify who actually completed clinical paperwork and where workflows broke down; used the findings to inform product decisions.</w:t>
      </w:r>
    </w:p>
    <w:p w14:paraId="00E7D77F" w14:textId="77777777" w:rsidR="00A16CF3" w:rsidRDefault="0011613C" w:rsidP="00A16CF3">
      <w:pPr>
        <w:pStyle w:val="ListBullet"/>
        <w:numPr>
          <w:ilvl w:val="0"/>
          <w:numId w:val="10"/>
        </w:numPr>
        <w:rPr>
          <w:color w:val="44403C"/>
        </w:rPr>
      </w:pPr>
      <w:r w:rsidRPr="00A16CF3">
        <w:rPr>
          <w:color w:val="44403C"/>
        </w:rPr>
        <w:t>Used post-launch feedback and product analysis to identify a discoverability problem with an existing control, then improved the workflow, reducing support calls by 30% and increasing NPS by 25%.</w:t>
      </w:r>
    </w:p>
    <w:p w14:paraId="49952E69" w14:textId="30B73E90" w:rsidR="0013107C" w:rsidRPr="00A16CF3" w:rsidRDefault="00000000" w:rsidP="00A16CF3">
      <w:pPr>
        <w:pStyle w:val="ListBullet"/>
        <w:numPr>
          <w:ilvl w:val="0"/>
          <w:numId w:val="10"/>
        </w:numPr>
        <w:rPr>
          <w:color w:val="44403C"/>
        </w:rPr>
      </w:pPr>
      <w:r w:rsidRPr="00A16CF3">
        <w:rPr>
          <w:rFonts w:cs="Calibri"/>
          <w:color w:val="44403C"/>
        </w:rPr>
        <w:t>Instrumented PostHog before launch and ran dark → soft → full releases so 322K existing digital lines a year stayed live while a new segment activated. Migrated 5,600 healthcare professionals across 500 organizations (62K+ annual transactions) with 0 disruptions — the constraint was behavior, not the identity stack.</w:t>
      </w:r>
    </w:p>
    <w:p w14:paraId="7B2254F9" w14:textId="77777777" w:rsidR="0013107C" w:rsidRDefault="00000000">
      <w:pPr>
        <w:keepNext/>
        <w:spacing w:before="20" w:after="0" w:line="240" w:lineRule="auto"/>
      </w:pPr>
      <w:r>
        <w:rPr>
          <w:rFonts w:ascii="Calibri" w:hAnsi="Calibri" w:cs="Calibri"/>
          <w:i/>
          <w:color w:val="4F46E5"/>
          <w:sz w:val="18"/>
        </w:rPr>
        <w:t>Simplest workflow that gets used</w:t>
      </w:r>
    </w:p>
    <w:p w14:paraId="6F22C4B2" w14:textId="56961D24" w:rsidR="0013107C" w:rsidRDefault="00000000" w:rsidP="00A16CF3">
      <w:pPr>
        <w:pStyle w:val="ListBullet"/>
        <w:numPr>
          <w:ilvl w:val="0"/>
          <w:numId w:val="11"/>
        </w:numPr>
      </w:pPr>
      <w:r>
        <w:rPr>
          <w:rFonts w:cs="Calibri"/>
          <w:color w:val="44403C"/>
        </w:rPr>
        <w:t xml:space="preserve">In under 3 months, rebuilt high-volume provider invoicing — </w:t>
      </w:r>
      <w:r w:rsidR="0011613C">
        <w:rPr>
          <w:rFonts w:cs="Calibri"/>
          <w:color w:val="44403C"/>
        </w:rPr>
        <w:t>post-visit invoicing workflow</w:t>
      </w:r>
      <w:r>
        <w:rPr>
          <w:rFonts w:cs="Calibri"/>
          <w:color w:val="44403C"/>
        </w:rPr>
        <w:t xml:space="preserve"> — after 25 of 3,795 organizations drove 50% of paper volume (~280K line items). The constraint was the product (one claim per submit, 11 screens, line caps), not training. Cut the path to 5 screens. Product share 39% → 55%; paper share 56% → 19%; digital adoption to 60% within six months; ~$200K annual savings; $580K to scale it.</w:t>
      </w:r>
    </w:p>
    <w:p w14:paraId="23E0E4C4" w14:textId="77777777" w:rsidR="0013107C" w:rsidRDefault="00000000">
      <w:pPr>
        <w:keepNext/>
        <w:spacing w:before="20" w:after="0" w:line="240" w:lineRule="auto"/>
      </w:pPr>
      <w:r>
        <w:rPr>
          <w:rFonts w:ascii="Calibri" w:hAnsi="Calibri" w:cs="Calibri"/>
          <w:i/>
          <w:color w:val="4F46E5"/>
          <w:sz w:val="18"/>
        </w:rPr>
        <w:t>Roadmap changed by customers</w:t>
      </w:r>
    </w:p>
    <w:p w14:paraId="05B4EFAD" w14:textId="42819CFF" w:rsidR="0013107C" w:rsidRDefault="00000000" w:rsidP="00A16CF3">
      <w:pPr>
        <w:pStyle w:val="ListBullet"/>
        <w:numPr>
          <w:ilvl w:val="0"/>
          <w:numId w:val="11"/>
        </w:numPr>
      </w:pPr>
      <w:r>
        <w:rPr>
          <w:rFonts w:cs="Calibri"/>
          <w:color w:val="44403C"/>
        </w:rPr>
        <w:t xml:space="preserve">Provider conversations killed a side portal: physicians will not leave the EMR. Led InfoX, a proof of concept in under 3 months, so the clinical note could be sent from OSCAR instead. POC validated March 2025; $80K funding; vendor roadmap covering ~70% of the ecosystem. </w:t>
      </w:r>
      <w:r w:rsidR="0011613C">
        <w:rPr>
          <w:rFonts w:cs="Calibri"/>
          <w:color w:val="44403C"/>
        </w:rPr>
        <w:t>Used JSON to validate the integration approach quickly, with FHIR as the planned upgrade path</w:t>
      </w:r>
      <w:r>
        <w:rPr>
          <w:rFonts w:cs="Calibri"/>
          <w:color w:val="44403C"/>
        </w:rPr>
        <w:t>; FHIR stayed the upgrade path; OAuth 2.0 / mTLS on the clinical data channel.</w:t>
      </w:r>
    </w:p>
    <w:p w14:paraId="095B635E" w14:textId="77777777" w:rsidR="0013107C" w:rsidRDefault="00000000">
      <w:pPr>
        <w:keepNext/>
        <w:spacing w:before="20" w:after="0" w:line="240" w:lineRule="auto"/>
      </w:pPr>
      <w:r>
        <w:rPr>
          <w:rFonts w:ascii="Calibri" w:hAnsi="Calibri" w:cs="Calibri"/>
          <w:i/>
          <w:color w:val="4F46E5"/>
          <w:sz w:val="18"/>
        </w:rPr>
        <w:t>Clinical notes, judgment, and privacy</w:t>
      </w:r>
    </w:p>
    <w:p w14:paraId="521D0239" w14:textId="77777777" w:rsidR="00A16CF3" w:rsidRDefault="00000000" w:rsidP="00A16CF3">
      <w:pPr>
        <w:pStyle w:val="ListBullet"/>
        <w:numPr>
          <w:ilvl w:val="0"/>
          <w:numId w:val="11"/>
        </w:numPr>
      </w:pPr>
      <w:r>
        <w:rPr>
          <w:rFonts w:cs="Calibri"/>
          <w:color w:val="44403C"/>
        </w:rPr>
        <w:t>Treated the clinical note as the product. Form 8/11 notes — written by physicians after the visit — were truncated by a 2001 billing spec (52,000 faxes a year). A shorter workflow and front-end validation improved the note that reached review, instead of asking clinicians to type around the limit.</w:t>
      </w:r>
    </w:p>
    <w:p w14:paraId="4CA7702E" w14:textId="77777777" w:rsidR="00A16CF3" w:rsidRDefault="00000000" w:rsidP="00A16CF3">
      <w:pPr>
        <w:pStyle w:val="ListBullet"/>
        <w:numPr>
          <w:ilvl w:val="0"/>
          <w:numId w:val="11"/>
        </w:numPr>
      </w:pPr>
      <w:r w:rsidRPr="00A16CF3">
        <w:rPr>
          <w:rFonts w:cs="Calibri"/>
          <w:color w:val="44403C"/>
        </w:rPr>
        <w:t>Refused auto-approve on physiotherapy treatment extensions after 139K requests showed a 79% approval rate. Speed would have rubber-stamped an</w:t>
      </w:r>
      <w:r w:rsidR="0011613C" w:rsidRPr="00A16CF3">
        <w:rPr>
          <w:rFonts w:cs="Calibri"/>
          <w:color w:val="44403C"/>
        </w:rPr>
        <w:t xml:space="preserve"> $80M treatment-extension workflow requiring clinical review</w:t>
      </w:r>
      <w:r w:rsidRPr="00A16CF3">
        <w:rPr>
          <w:rFonts w:cs="Calibri"/>
          <w:color w:val="44403C"/>
        </w:rPr>
        <w:t>. Shipped tracking and error validation, and kept clinical review in the product.</w:t>
      </w:r>
    </w:p>
    <w:p w14:paraId="29F99909" w14:textId="6C993587" w:rsidR="0013107C" w:rsidRDefault="00000000" w:rsidP="00A16CF3">
      <w:pPr>
        <w:pStyle w:val="ListBullet"/>
        <w:numPr>
          <w:ilvl w:val="0"/>
          <w:numId w:val="11"/>
        </w:numPr>
      </w:pPr>
      <w:r w:rsidRPr="00A16CF3">
        <w:rPr>
          <w:rFonts w:cs="Calibri"/>
          <w:color w:val="44403C"/>
        </w:rPr>
        <w:t>In a 2-week sprint, built Referral Radar, an LLM/RAG prototype (2nd of 36, InnoFest 2025), over 20–75 documents per case — intake notes, medical reports, and counselling plans. Evidence traces and a visual map of issues, interventions, and outcomes; humans kept the decision. Production records were blocked, so the sprint used synthetic data checked with subject-matter experts.</w:t>
      </w:r>
    </w:p>
    <w:p w14:paraId="6770A8DD" w14:textId="77777777" w:rsidR="0013107C" w:rsidRDefault="00000000">
      <w:pPr>
        <w:keepNext/>
        <w:spacing w:before="20" w:after="0" w:line="240" w:lineRule="auto"/>
      </w:pPr>
      <w:r>
        <w:rPr>
          <w:rFonts w:ascii="Calibri" w:hAnsi="Calibri" w:cs="Calibri"/>
          <w:i/>
          <w:color w:val="4F46E5"/>
          <w:sz w:val="18"/>
        </w:rPr>
        <w:t>Ships code</w:t>
      </w:r>
    </w:p>
    <w:p w14:paraId="680B01C5" w14:textId="77777777" w:rsidR="0013107C" w:rsidRDefault="00000000" w:rsidP="00A16CF3">
      <w:pPr>
        <w:pStyle w:val="ListBullet"/>
        <w:numPr>
          <w:ilvl w:val="0"/>
          <w:numId w:val="12"/>
        </w:numPr>
      </w:pPr>
      <w:r>
        <w:rPr>
          <w:rFonts w:cs="Calibri"/>
          <w:color w:val="44403C"/>
        </w:rPr>
        <w:t>Opened engineer-reviewed pull requests on the WorkSafeBC provider platform that merged to production. Built and shipped this portfolio (Next.js, React, Tailwind on Vercel) in Cursor.</w:t>
      </w:r>
    </w:p>
    <w:p w14:paraId="0CEAC5ED" w14:textId="77777777" w:rsidR="00A16CF3" w:rsidRDefault="00A16CF3" w:rsidP="00A16CF3"/>
    <w:p w14:paraId="577C5F98" w14:textId="35800FCC" w:rsidR="0013107C" w:rsidRDefault="00000000" w:rsidP="00A16CF3">
      <w:r>
        <w:rPr>
          <w:rFonts w:ascii="Calibri" w:hAnsi="Calibri" w:cs="Calibri"/>
          <w:b/>
          <w:color w:val="1C1917"/>
          <w:sz w:val="20"/>
        </w:rPr>
        <w:t>Product Manager (promoted from Business Analyst)  |  Technical Safety BC</w:t>
      </w:r>
      <w:r>
        <w:rPr>
          <w:rFonts w:ascii="Calibri" w:hAnsi="Calibri" w:cs="Calibri"/>
          <w:color w:val="78716C"/>
          <w:sz w:val="18"/>
        </w:rPr>
        <w:t xml:space="preserve">    Oct 2021 – Apr 2024</w:t>
      </w:r>
    </w:p>
    <w:p w14:paraId="73BEC0BD" w14:textId="77777777" w:rsidR="00A16CF3" w:rsidRDefault="00000000" w:rsidP="00A16CF3">
      <w:pPr>
        <w:pStyle w:val="ListBullet"/>
        <w:numPr>
          <w:ilvl w:val="0"/>
          <w:numId w:val="12"/>
        </w:numPr>
      </w:pPr>
      <w:r>
        <w:rPr>
          <w:rFonts w:cs="Calibri"/>
          <w:color w:val="44403C"/>
        </w:rPr>
        <w:t>Shipped NLP email classification into a live routing workflow, cutting manual inbox triage — production AI, not a demo.</w:t>
      </w:r>
    </w:p>
    <w:p w14:paraId="272677CD" w14:textId="77777777" w:rsidR="00A16CF3" w:rsidRDefault="00000000" w:rsidP="00A16CF3">
      <w:pPr>
        <w:pStyle w:val="ListBullet"/>
        <w:numPr>
          <w:ilvl w:val="0"/>
          <w:numId w:val="12"/>
        </w:numPr>
      </w:pPr>
      <w:r w:rsidRPr="00A16CF3">
        <w:rPr>
          <w:rFonts w:cs="Calibri"/>
          <w:color w:val="44403C"/>
        </w:rPr>
        <w:t>Led discovery for a mobile inspection platform through customer interviews, workflow mapping, prototyping, and usability testing before engineering investment. Turned field pain into requirements and a roadmap with engineering, field users, and design.</w:t>
      </w:r>
    </w:p>
    <w:p w14:paraId="322C5293" w14:textId="02C3A891" w:rsidR="0013107C" w:rsidRDefault="00000000" w:rsidP="00A16CF3">
      <w:pPr>
        <w:pStyle w:val="ListBullet"/>
        <w:numPr>
          <w:ilvl w:val="0"/>
          <w:numId w:val="12"/>
        </w:numPr>
      </w:pPr>
      <w:r w:rsidRPr="00A16CF3">
        <w:rPr>
          <w:rFonts w:cs="Calibri"/>
          <w:color w:val="44403C"/>
        </w:rPr>
        <w:t>Built membership, churn, and engagement data products that identified 11.7% annual churn. RFM segmentation retained 78% of high-risk customers.</w:t>
      </w:r>
    </w:p>
    <w:p w14:paraId="69688EC4" w14:textId="77777777" w:rsidR="0013107C" w:rsidRDefault="00000000">
      <w:pPr>
        <w:keepNext/>
        <w:spacing w:before="60" w:after="0" w:line="240" w:lineRule="auto"/>
      </w:pPr>
      <w:r>
        <w:rPr>
          <w:rFonts w:ascii="Calibri" w:hAnsi="Calibri" w:cs="Calibri"/>
          <w:b/>
          <w:color w:val="1C1917"/>
          <w:sz w:val="20"/>
        </w:rPr>
        <w:lastRenderedPageBreak/>
        <w:t>Strategy Consultant  |  180 Degrees Consulting — University of British Columbia</w:t>
      </w:r>
      <w:r>
        <w:rPr>
          <w:rFonts w:ascii="Calibri" w:hAnsi="Calibri" w:cs="Calibri"/>
          <w:color w:val="78716C"/>
          <w:sz w:val="18"/>
        </w:rPr>
        <w:t xml:space="preserve">    Sep 2020 – Oct 2021</w:t>
      </w:r>
    </w:p>
    <w:p w14:paraId="6B39EC56" w14:textId="77777777" w:rsidR="0013107C" w:rsidRDefault="00000000" w:rsidP="00A16CF3">
      <w:pPr>
        <w:pStyle w:val="ListBullet"/>
        <w:numPr>
          <w:ilvl w:val="0"/>
          <w:numId w:val="13"/>
        </w:numPr>
      </w:pPr>
      <w:r>
        <w:rPr>
          <w:rFonts w:cs="Calibri"/>
          <w:color w:val="44403C"/>
        </w:rPr>
        <w:t>Designed a growth acquisition system for Open Primaries that cut bounce rate 37% while doubling subscriptions. Built product and market strategies for nonprofit and clean energy clients.</w:t>
      </w:r>
    </w:p>
    <w:p w14:paraId="282C981A" w14:textId="77777777" w:rsidR="0013107C" w:rsidRDefault="00000000">
      <w:pPr>
        <w:keepNext/>
        <w:spacing w:before="60" w:after="0" w:line="240" w:lineRule="auto"/>
      </w:pPr>
      <w:r>
        <w:rPr>
          <w:rFonts w:ascii="Calibri" w:hAnsi="Calibri" w:cs="Calibri"/>
          <w:b/>
          <w:color w:val="1C1917"/>
          <w:sz w:val="20"/>
        </w:rPr>
        <w:t>SEO Consultant — Growth &amp; Analytics  |  Convertus</w:t>
      </w:r>
      <w:r>
        <w:rPr>
          <w:rFonts w:ascii="Calibri" w:hAnsi="Calibri" w:cs="Calibri"/>
          <w:color w:val="78716C"/>
          <w:sz w:val="18"/>
        </w:rPr>
        <w:t xml:space="preserve">    May 2018 – Jul 2019</w:t>
      </w:r>
    </w:p>
    <w:p w14:paraId="51D3F6D6" w14:textId="77777777" w:rsidR="0013107C" w:rsidRDefault="00000000" w:rsidP="00A16CF3">
      <w:pPr>
        <w:pStyle w:val="ListBullet"/>
        <w:numPr>
          <w:ilvl w:val="0"/>
          <w:numId w:val="13"/>
        </w:numPr>
      </w:pPr>
      <w:r>
        <w:rPr>
          <w:rFonts w:cs="Calibri"/>
          <w:color w:val="44403C"/>
        </w:rPr>
        <w:t>Built organic acquisition systems for 75+ digital properties, increasing organic performance ~150%, and a forecasting model that predicted SEO performance with ~85% accuracy.</w:t>
      </w:r>
    </w:p>
    <w:p w14:paraId="4BB13DF8" w14:textId="77777777" w:rsidR="0013107C" w:rsidRDefault="0013107C">
      <w:pPr>
        <w:pBdr>
          <w:bottom w:val="single" w:sz="6" w:space="1" w:color="6D28D9"/>
        </w:pBdr>
        <w:spacing w:before="20" w:after="20" w:line="240" w:lineRule="auto"/>
      </w:pPr>
    </w:p>
    <w:p w14:paraId="69A31ED8" w14:textId="77777777" w:rsidR="0013107C" w:rsidRDefault="00000000">
      <w:pPr>
        <w:keepNext/>
        <w:spacing w:before="120" w:after="20" w:line="240" w:lineRule="auto"/>
      </w:pPr>
      <w:r>
        <w:rPr>
          <w:rFonts w:ascii="Calibri" w:hAnsi="Calibri" w:cs="Calibri"/>
          <w:b/>
          <w:color w:val="6D28D9"/>
          <w:sz w:val="21"/>
        </w:rPr>
        <w:t>EDUCATION</w:t>
      </w:r>
    </w:p>
    <w:p w14:paraId="31E336CF" w14:textId="77777777" w:rsidR="0013107C" w:rsidRDefault="00000000">
      <w:pPr>
        <w:keepNext/>
        <w:spacing w:before="60" w:after="0" w:line="240" w:lineRule="auto"/>
      </w:pPr>
      <w:r>
        <w:rPr>
          <w:rFonts w:ascii="Calibri" w:hAnsi="Calibri" w:cs="Calibri"/>
          <w:b/>
          <w:color w:val="1C1917"/>
          <w:sz w:val="20"/>
        </w:rPr>
        <w:t>Master of Business Analytics  |  University of British Columbia</w:t>
      </w:r>
      <w:r>
        <w:rPr>
          <w:rFonts w:ascii="Calibri" w:hAnsi="Calibri" w:cs="Calibri"/>
          <w:color w:val="78716C"/>
          <w:sz w:val="18"/>
        </w:rPr>
        <w:t xml:space="preserve">    </w:t>
      </w:r>
    </w:p>
    <w:p w14:paraId="74BA8414" w14:textId="77777777" w:rsidR="0013107C" w:rsidRDefault="00000000">
      <w:pPr>
        <w:spacing w:after="0" w:line="240" w:lineRule="auto"/>
      </w:pPr>
      <w:r>
        <w:rPr>
          <w:rFonts w:ascii="Calibri" w:hAnsi="Calibri" w:cs="Calibri"/>
          <w:color w:val="78716C"/>
          <w:sz w:val="18"/>
        </w:rPr>
        <w:t>Python  •  SQL  •  Machine Learning  •  Optimization  •  Product Analytics</w:t>
      </w:r>
    </w:p>
    <w:p w14:paraId="3269EE26" w14:textId="77777777" w:rsidR="0013107C" w:rsidRDefault="00000000">
      <w:pPr>
        <w:keepNext/>
        <w:spacing w:before="60" w:after="0" w:line="240" w:lineRule="auto"/>
      </w:pPr>
      <w:r>
        <w:rPr>
          <w:rFonts w:ascii="Calibri" w:hAnsi="Calibri" w:cs="Calibri"/>
          <w:b/>
          <w:color w:val="1C1917"/>
          <w:sz w:val="20"/>
        </w:rPr>
        <w:t>Bachelor of Business Administration (Marketing)  |  British Columbia Institute of Technology</w:t>
      </w:r>
      <w:r>
        <w:rPr>
          <w:rFonts w:ascii="Calibri" w:hAnsi="Calibri" w:cs="Calibri"/>
          <w:color w:val="78716C"/>
          <w:sz w:val="18"/>
        </w:rPr>
        <w:t xml:space="preserve">    </w:t>
      </w:r>
    </w:p>
    <w:p w14:paraId="24E1FD73" w14:textId="77777777" w:rsidR="0013107C" w:rsidRDefault="0013107C">
      <w:pPr>
        <w:pBdr>
          <w:bottom w:val="single" w:sz="6" w:space="1" w:color="6D28D9"/>
        </w:pBdr>
        <w:spacing w:before="20" w:after="20" w:line="240" w:lineRule="auto"/>
      </w:pPr>
    </w:p>
    <w:p w14:paraId="0CC4EFDC" w14:textId="77777777" w:rsidR="0013107C" w:rsidRDefault="00000000">
      <w:pPr>
        <w:keepNext/>
        <w:spacing w:before="120" w:after="20" w:line="240" w:lineRule="auto"/>
      </w:pPr>
      <w:r>
        <w:rPr>
          <w:rFonts w:ascii="Calibri" w:hAnsi="Calibri" w:cs="Calibri"/>
          <w:b/>
          <w:color w:val="6D28D9"/>
          <w:sz w:val="21"/>
        </w:rPr>
        <w:t>SKILLS</w:t>
      </w:r>
    </w:p>
    <w:p w14:paraId="7A327E8B" w14:textId="77777777" w:rsidR="0013107C" w:rsidRDefault="00000000">
      <w:pPr>
        <w:spacing w:before="40" w:after="20" w:line="240" w:lineRule="auto"/>
      </w:pPr>
      <w:r>
        <w:rPr>
          <w:rFonts w:ascii="Calibri" w:hAnsi="Calibri" w:cs="Calibri"/>
          <w:b/>
          <w:color w:val="5B21B6"/>
          <w:sz w:val="18"/>
        </w:rPr>
        <w:t xml:space="preserve">Product:  </w:t>
      </w:r>
      <w:r>
        <w:rPr>
          <w:rFonts w:ascii="Calibri" w:hAnsi="Calibri" w:cs="Calibri"/>
          <w:color w:val="44403C"/>
          <w:sz w:val="18"/>
        </w:rPr>
        <w:t>Discovery  •  Roadmaps  •  Adoption  •  Provider interviews  •  Feedback loops  •  0→1  •  Short cycles  •  Support-to-product</w:t>
      </w:r>
    </w:p>
    <w:p w14:paraId="7E2DA077" w14:textId="77777777" w:rsidR="0013107C" w:rsidRDefault="00000000">
      <w:pPr>
        <w:spacing w:before="40" w:after="20" w:line="240" w:lineRule="auto"/>
      </w:pPr>
      <w:r>
        <w:rPr>
          <w:rFonts w:ascii="Calibri" w:hAnsi="Calibri" w:cs="Calibri"/>
          <w:b/>
          <w:color w:val="5B21B6"/>
          <w:sz w:val="18"/>
        </w:rPr>
        <w:t xml:space="preserve">Clinical:  </w:t>
      </w:r>
      <w:r>
        <w:rPr>
          <w:rFonts w:ascii="Calibri" w:hAnsi="Calibri" w:cs="Calibri"/>
          <w:color w:val="44403C"/>
          <w:sz w:val="18"/>
        </w:rPr>
        <w:t>Clinical notes  •  Physiotherapy admin  •  Provider invoicing  •  Human-in-the-loop decisions  •  Privacy-constrained data  •  Regulated healthcare</w:t>
      </w:r>
    </w:p>
    <w:p w14:paraId="3771ECBE" w14:textId="5349885C" w:rsidR="0013107C" w:rsidRDefault="00000000">
      <w:pPr>
        <w:spacing w:before="40" w:after="20" w:line="240" w:lineRule="auto"/>
      </w:pPr>
      <w:r>
        <w:rPr>
          <w:rFonts w:ascii="Calibri" w:hAnsi="Calibri" w:cs="Calibri"/>
          <w:b/>
          <w:color w:val="5B21B6"/>
          <w:sz w:val="18"/>
        </w:rPr>
        <w:t xml:space="preserve">AI &amp; building:  </w:t>
      </w:r>
      <w:r>
        <w:rPr>
          <w:rFonts w:ascii="Calibri" w:hAnsi="Calibri" w:cs="Calibri"/>
          <w:color w:val="44403C"/>
          <w:sz w:val="18"/>
        </w:rPr>
        <w:t>LLM / RAG  •  NLP  •  Cursor  •  GitHub Copilot  •  Lovable  •  n8n  •  Evidence traces  •  Next.js  •  React</w:t>
      </w:r>
    </w:p>
    <w:p w14:paraId="28940413" w14:textId="77777777" w:rsidR="0013107C" w:rsidRDefault="00000000">
      <w:pPr>
        <w:spacing w:before="40" w:after="20" w:line="240" w:lineRule="auto"/>
      </w:pPr>
      <w:r>
        <w:rPr>
          <w:rFonts w:ascii="Calibri" w:hAnsi="Calibri" w:cs="Calibri"/>
          <w:b/>
          <w:color w:val="5B21B6"/>
          <w:sz w:val="18"/>
        </w:rPr>
        <w:t xml:space="preserve">Growth:  </w:t>
      </w:r>
      <w:r>
        <w:rPr>
          <w:rFonts w:ascii="Calibri" w:hAnsi="Calibri" w:cs="Calibri"/>
          <w:color w:val="44403C"/>
          <w:sz w:val="18"/>
        </w:rPr>
        <w:t>Organic acquisition  •  Activation  •  PostHog  •  Funnel analysis  •  Segmentation  •  SQL  •  Python</w:t>
      </w:r>
    </w:p>
    <w:p w14:paraId="516D1894" w14:textId="77777777" w:rsidR="0013107C" w:rsidRDefault="0013107C">
      <w:pPr>
        <w:pBdr>
          <w:bottom w:val="single" w:sz="6" w:space="1" w:color="6D28D9"/>
        </w:pBdr>
        <w:spacing w:before="20" w:after="20" w:line="240" w:lineRule="auto"/>
      </w:pPr>
    </w:p>
    <w:p w14:paraId="6154D123" w14:textId="77777777" w:rsidR="0013107C" w:rsidRDefault="00000000">
      <w:pPr>
        <w:keepNext/>
        <w:spacing w:before="120" w:after="20" w:line="240" w:lineRule="auto"/>
      </w:pPr>
      <w:r>
        <w:rPr>
          <w:rFonts w:ascii="Calibri" w:hAnsi="Calibri" w:cs="Calibri"/>
          <w:b/>
          <w:color w:val="6D28D9"/>
          <w:sz w:val="21"/>
        </w:rPr>
        <w:t>LEADERSHIP</w:t>
      </w:r>
    </w:p>
    <w:p w14:paraId="0DE810B9" w14:textId="77777777" w:rsidR="0013107C" w:rsidRDefault="00000000">
      <w:pPr>
        <w:keepNext/>
        <w:spacing w:before="20" w:after="0" w:line="240" w:lineRule="auto"/>
      </w:pPr>
      <w:r>
        <w:rPr>
          <w:rFonts w:ascii="Calibri" w:hAnsi="Calibri" w:cs="Calibri"/>
          <w:b/>
          <w:color w:val="1C1917"/>
          <w:sz w:val="19"/>
        </w:rPr>
        <w:t>Speaker — ProductCamp BC (2025)</w:t>
      </w:r>
    </w:p>
    <w:p w14:paraId="1AD636FE" w14:textId="77777777" w:rsidR="0013107C" w:rsidRDefault="00000000">
      <w:pPr>
        <w:spacing w:after="20" w:line="240" w:lineRule="auto"/>
      </w:pPr>
      <w:r>
        <w:rPr>
          <w:rFonts w:ascii="Calibri" w:hAnsi="Calibri" w:cs="Calibri"/>
          <w:i/>
          <w:color w:val="44403C"/>
          <w:sz w:val="19"/>
        </w:rPr>
        <w:t>"How Legacy Industries Can Adopt a Product Mindset to Improve Service Delivery."</w:t>
      </w:r>
    </w:p>
    <w:p w14:paraId="27086114" w14:textId="77777777" w:rsidR="0013107C" w:rsidRDefault="00000000">
      <w:pPr>
        <w:keepNext/>
        <w:spacing w:before="40" w:after="0" w:line="240" w:lineRule="auto"/>
      </w:pPr>
      <w:r>
        <w:rPr>
          <w:rFonts w:ascii="Calibri" w:hAnsi="Calibri" w:cs="Calibri"/>
          <w:b/>
          <w:color w:val="1C1917"/>
          <w:sz w:val="19"/>
        </w:rPr>
        <w:t>Mentor — ProductBC</w:t>
      </w:r>
    </w:p>
    <w:p w14:paraId="0780F597" w14:textId="77777777" w:rsidR="0013107C" w:rsidRDefault="00000000">
      <w:pPr>
        <w:spacing w:after="0" w:line="240" w:lineRule="auto"/>
      </w:pPr>
      <w:r>
        <w:rPr>
          <w:rFonts w:ascii="Calibri" w:hAnsi="Calibri" w:cs="Calibri"/>
          <w:color w:val="44403C"/>
          <w:sz w:val="19"/>
        </w:rPr>
        <w:t>Mentor aspiring product managers in discovery, strategy, and career development.</w:t>
      </w:r>
    </w:p>
    <w:sectPr w:rsidR="0013107C" w:rsidSect="00034616">
      <w:pgSz w:w="12240" w:h="15840"/>
      <w:pgMar w:top="850"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557AE9"/>
    <w:multiLevelType w:val="hybridMultilevel"/>
    <w:tmpl w:val="014405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8011D28"/>
    <w:multiLevelType w:val="hybridMultilevel"/>
    <w:tmpl w:val="FD682D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1FF72F6"/>
    <w:multiLevelType w:val="hybridMultilevel"/>
    <w:tmpl w:val="3D8EE4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86725BF"/>
    <w:multiLevelType w:val="hybridMultilevel"/>
    <w:tmpl w:val="2AC636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17946074">
    <w:abstractNumId w:val="8"/>
  </w:num>
  <w:num w:numId="2" w16cid:durableId="1302149405">
    <w:abstractNumId w:val="6"/>
  </w:num>
  <w:num w:numId="3" w16cid:durableId="1741975828">
    <w:abstractNumId w:val="5"/>
  </w:num>
  <w:num w:numId="4" w16cid:durableId="2009358779">
    <w:abstractNumId w:val="4"/>
  </w:num>
  <w:num w:numId="5" w16cid:durableId="429854644">
    <w:abstractNumId w:val="7"/>
  </w:num>
  <w:num w:numId="6" w16cid:durableId="1717314467">
    <w:abstractNumId w:val="3"/>
  </w:num>
  <w:num w:numId="7" w16cid:durableId="560213573">
    <w:abstractNumId w:val="2"/>
  </w:num>
  <w:num w:numId="8" w16cid:durableId="541555465">
    <w:abstractNumId w:val="1"/>
  </w:num>
  <w:num w:numId="9" w16cid:durableId="1888105119">
    <w:abstractNumId w:val="0"/>
  </w:num>
  <w:num w:numId="10" w16cid:durableId="257249839">
    <w:abstractNumId w:val="11"/>
  </w:num>
  <w:num w:numId="11" w16cid:durableId="871571818">
    <w:abstractNumId w:val="12"/>
  </w:num>
  <w:num w:numId="12" w16cid:durableId="1884562371">
    <w:abstractNumId w:val="10"/>
  </w:num>
  <w:num w:numId="13" w16cid:durableId="5680774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isplayBackgroundShap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13C"/>
    <w:rsid w:val="0013107C"/>
    <w:rsid w:val="0015074B"/>
    <w:rsid w:val="0029639D"/>
    <w:rsid w:val="00326F90"/>
    <w:rsid w:val="009D7502"/>
    <w:rsid w:val="00A16C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9AE0D"/>
  <w14:defaultImageDpi w14:val="300"/>
  <w15:docId w15:val="{C785F9E0-2D3D-4904-A812-739C1C442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line="240"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dodani-portfolio.vercel.app" TargetMode="External"/><Relationship Id="rId3" Type="http://schemas.openxmlformats.org/officeDocument/2006/relationships/styles" Target="styles.xml"/><Relationship Id="rId7" Type="http://schemas.openxmlformats.org/officeDocument/2006/relationships/hyperlink" Target="https://github.com/kdodan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khushdodani"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ddodani@student.ubc.ca</cp:lastModifiedBy>
  <cp:revision>3</cp:revision>
  <cp:lastPrinted>2026-10-21T21:46:00Z</cp:lastPrinted>
  <dcterms:created xsi:type="dcterms:W3CDTF">2013-12-23T23:15:00Z</dcterms:created>
  <dcterms:modified xsi:type="dcterms:W3CDTF">2026-10-21T21:46:00Z</dcterms:modified>
  <cp:category/>
</cp:coreProperties>
</file>