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0" w:line="240" w:lineRule="auto"/>
        <w:jc w:val="center"/>
      </w:pPr>
      <w:r>
        <w:rPr>
          <w:rFonts w:ascii="Calibri" w:hAnsi="Calibri" w:cs="Calibri"/>
          <w:b/>
          <w:i w:val="0"/>
          <w:color w:val="1C1917"/>
          <w:sz w:val="36"/>
        </w:rPr>
        <w:t>KHUSHBOO DODANI</w:t>
      </w:r>
    </w:p>
    <w:p>
      <w:pPr>
        <w:spacing w:before="20" w:after="0" w:line="240" w:lineRule="auto"/>
        <w:jc w:val="center"/>
      </w:pPr>
      <w:r>
        <w:rPr>
          <w:rFonts w:ascii="Calibri" w:hAnsi="Calibri" w:cs="Calibri"/>
          <w:b w:val="0"/>
          <w:i w:val="0"/>
          <w:color w:val="78716C"/>
          <w:sz w:val="18"/>
        </w:rPr>
        <w:t xml:space="preserve">San Francisco Bay Area  |  US work authorization  |  khushdodani@gmail.com  |  </w:t>
      </w:r>
      <w:hyperlink r:id="rId9">
        <w:r>
          <w:rPr>
            <w:rFonts w:ascii="Calibri" w:hAnsi="Calibri" w:cs="Calibri"/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rFonts w:ascii="Calibri" w:hAnsi="Calibri" w:cs="Calibri"/>
          <w:b w:val="0"/>
          <w:i w:val="0"/>
          <w:color w:val="78716C"/>
          <w:sz w:val="18"/>
        </w:rPr>
        <w:t xml:space="preserve">  |  </w:t>
      </w:r>
      <w:hyperlink r:id="rId10">
        <w:r>
          <w:rPr>
            <w:rFonts w:ascii="Calibri" w:hAnsi="Calibri" w:cs="Calibri"/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rFonts w:ascii="Calibri" w:hAnsi="Calibri" w:cs="Calibri"/>
          <w:b w:val="0"/>
          <w:i w:val="0"/>
          <w:color w:val="78716C"/>
          <w:sz w:val="18"/>
        </w:rPr>
        <w:t xml:space="preserve">  |  </w:t>
      </w:r>
      <w:hyperlink r:id="rId11">
        <w:r>
          <w:rPr>
            <w:rFonts w:ascii="Calibri" w:hAnsi="Calibri" w:cs="Calibri"/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20" w:after="0" w:line="240" w:lineRule="auto"/>
        <w:jc w:val="center"/>
      </w:pPr>
      <w:r>
        <w:rPr>
          <w:rFonts w:ascii="Calibri" w:hAnsi="Calibri" w:cs="Calibri"/>
          <w:b/>
          <w:i w:val="0"/>
          <w:color w:val="6D28D9"/>
          <w:sz w:val="24"/>
        </w:rPr>
        <w:t>PRODUCT MANAGER</w:t>
      </w:r>
    </w:p>
    <w:p>
      <w:pPr>
        <w:spacing w:before="0" w:after="20" w:line="240" w:lineRule="auto"/>
        <w:jc w:val="center"/>
      </w:pPr>
      <w:r>
        <w:rPr>
          <w:rFonts w:ascii="Calibri" w:hAnsi="Calibri" w:cs="Calibri"/>
          <w:b w:val="0"/>
          <w:i w:val="0"/>
          <w:color w:val="5B21B6"/>
          <w:sz w:val="18"/>
        </w:rPr>
        <w:t>Clinical AI Agents  •  EHR &amp; API Integrations  •  Eligibility &amp; Access Workflows  •  0-to-1 Ownership</w:t>
      </w:r>
    </w:p>
    <w:p>
      <w:pPr>
        <w:keepNext w:val="0"/>
        <w:spacing w:before="20" w:after="20" w:line="240" w:lineRule="auto"/>
        <w:pBdr>
          <w:bottom w:val="single" w:sz="6" w:space="1" w:color="6D28D9"/>
        </w:pBdr>
      </w:pPr>
    </w:p>
    <w:p>
      <w:pPr>
        <w:keepNext w:val="0"/>
        <w:spacing w:before="40" w:after="40" w:line="240" w:lineRule="auto"/>
      </w:pPr>
      <w:r>
        <w:rPr>
          <w:rFonts w:ascii="Calibri" w:hAnsi="Calibri" w:cs="Calibri"/>
          <w:b w:val="0"/>
          <w:i w:val="0"/>
          <w:color w:val="44403C"/>
          <w:sz w:val="19"/>
        </w:rPr>
        <w:t>Product Manager with 5+ years owning healthcare workflow products from discovery with clinicians and clinic admins through launch and measured outcomes. Led a 0-to-1 LLM agent prototype that identifies who qualifies for a program from 20-75 unstructured clinical documents per case, with evidence traces and a defined human/AI boundary (2nd of 36, InnoFest 2025). Led a 0-to-1 EMR integration so providers act in the chart, not a side portal. Turned ambiguous problems into funded roadmaps: invalid submissions down 40%, paper 56% to 19%, $580K, $300K, and $80K approved. Works with engineering on APIs and system design; writes SQL and Python; prototypes in Cursor. Master of Business Analytics.</w:t>
      </w:r>
    </w:p>
    <w:p>
      <w:pPr>
        <w:keepNext w:val="0"/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rFonts w:ascii="Calibri" w:hAnsi="Calibri" w:cs="Calibri"/>
          <w:b/>
          <w:i w:val="0"/>
          <w:color w:val="6D28D9"/>
          <w:sz w:val="21"/>
        </w:rPr>
        <w:t>EXPERIENCE</w:t>
      </w:r>
    </w:p>
    <w:p>
      <w:pPr>
        <w:keepNext/>
        <w:spacing w:before="60" w:after="0" w:line="240" w:lineRule="auto"/>
      </w:pPr>
      <w:r>
        <w:rPr>
          <w:rFonts w:ascii="Calibri" w:hAnsi="Calibri" w:cs="Calibri"/>
          <w:b/>
          <w:i w:val="0"/>
          <w:color w:val="1C1917"/>
          <w:sz w:val="21"/>
        </w:rPr>
        <w:t>Product Manager — Provider Platform, Clinical Workflows &amp; AI  |  WorkSafeBC</w:t>
      </w:r>
      <w:r>
        <w:rPr>
          <w:rFonts w:ascii="Calibri" w:hAnsi="Calibri" w:cs="Calibri"/>
          <w:b w:val="0"/>
          <w:i w:val="0"/>
          <w:color w:val="78716C"/>
          <w:sz w:val="18"/>
        </w:rPr>
        <w:t xml:space="preserve">    Apr 2024 – Present</w:t>
      </w:r>
    </w:p>
    <w:p>
      <w:pPr>
        <w:keepNext/>
        <w:spacing w:before="40" w:after="0" w:line="240" w:lineRule="auto"/>
      </w:pPr>
      <w:r>
        <w:rPr>
          <w:rFonts w:ascii="Calibri" w:hAnsi="Calibri" w:cs="Calibri"/>
          <w:b w:val="0"/>
          <w:i/>
          <w:color w:val="4F46E5"/>
          <w:sz w:val="18"/>
        </w:rPr>
        <w:t>Clinical AI and 0-to-1  ·  identifying who qualifies for care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Led Referral Radar from zero: LLM retrieval across 20-75 unstructured claim documents per case to surface which claimants qualify for a program, each recommendation tied to an evidence trace. Defined the human/AI boundary: the case manager keeps the decision and the AI never auto-routes. 2nd of 36 at InnoFest 2025; production plan in place.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Chose explainability over raw accuracy because reviewer trust was the adoption constraint. When production data was blocked, built a synthetic-data path validated by an experienced case manager so data science kept moving.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Prototype daily with AI coding assistants (Cursor, GitHub Copilot, Lovable) and n8n agent workflows, so engineers and customers react to something real before we commit build capacity.</w:t>
      </w:r>
    </w:p>
    <w:p>
      <w:pPr>
        <w:keepNext/>
        <w:spacing w:before="40" w:after="0" w:line="240" w:lineRule="auto"/>
      </w:pPr>
      <w:r>
        <w:rPr>
          <w:rFonts w:ascii="Calibri" w:hAnsi="Calibri" w:cs="Calibri"/>
          <w:b w:val="0"/>
          <w:i/>
          <w:color w:val="4F46E5"/>
          <w:sz w:val="18"/>
        </w:rPr>
        <w:t>EHR and API integrations  ·  customer discovery with clinicians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Led OSCAR EMR submission from zero after discovery showed physicians would not leave their chart for a side application. POC validated Mar 2025; $80K funded; roadmap covers ~70% of the provider ecosystem; aligned 50 EMR vendors, TELUS, ForgeRock, and government.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Worked through architecture trade-offs with engineering: JSON for POC speed with FHIR as the upgrade path, Azure API Management as a reusable gateway instead of point-to-point integrations, OAuth 2.0 and mTLS for the data channel.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Run discovery directly with physiotherapists, clinic admins, and EMR vendors; turn it into requirements, acceptance criteria, and sprint-ready specs across multiple dev pods in Azure DevOps.</w:t>
      </w:r>
    </w:p>
    <w:p>
      <w:pPr>
        <w:keepNext/>
        <w:spacing w:before="40" w:after="0" w:line="240" w:lineRule="auto"/>
      </w:pPr>
      <w:r>
        <w:rPr>
          <w:rFonts w:ascii="Calibri" w:hAnsi="Calibri" w:cs="Calibri"/>
          <w:b w:val="0"/>
          <w:i/>
          <w:color w:val="4F46E5"/>
          <w:sz w:val="18"/>
        </w:rPr>
        <w:t>Access, authorization, and capture at scale  ·  measurable outcomes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Owned digital treatment-extension (continued-care authorization) requests on an $80M program. Analyzed 139K requests: 79% approved, 27% same day. Rejected a push to auto-approve; shipped structured treatment rationale, request tracking, and error validation so clinics see outcomes without calling. $300K approved.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Analyzed 3.7M invoice line items; 25 of 3,795 orgs drove half of remaining paper. Rebuilt an 11-screen, 32-line-cap flow into 5 screens with no cap, unlocking ~280K blocked lines. Paper 56% to 19%, portal 39% to 55%, ~$50K lower cost-to-process, $580K funded.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Shipped in-product validation against fee schedules, rates, and service codes so invalid claims fail at submit: invalid submissions down 40%. Instrumented PostHog and ran dark, soft, and hard launches so a high-volume segment activated without disrupting existing throughput.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Migrated 5,600 healthcare professionals across 500 organizations to a new identity platform on a portal with 62K+ annual referrals: zero downtime, 100% of active accounts transitioned.</w:t>
      </w:r>
    </w:p>
    <w:p>
      <w:pPr>
        <w:keepNext/>
        <w:spacing w:before="60" w:after="0" w:line="240" w:lineRule="auto"/>
      </w:pPr>
      <w:r>
        <w:rPr>
          <w:rFonts w:ascii="Calibri" w:hAnsi="Calibri" w:cs="Calibri"/>
          <w:b/>
          <w:i w:val="0"/>
          <w:color w:val="1C1917"/>
          <w:sz w:val="21"/>
        </w:rPr>
        <w:t>Product Manager  |  Technical Safety BC</w:t>
      </w:r>
      <w:r>
        <w:rPr>
          <w:rFonts w:ascii="Calibri" w:hAnsi="Calibri" w:cs="Calibri"/>
          <w:b w:val="0"/>
          <w:i w:val="0"/>
          <w:color w:val="78716C"/>
          <w:sz w:val="18"/>
        </w:rPr>
        <w:t xml:space="preserve">    Oct 2021 – Apr 2024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Led discovery for a mobile inspections platform with field staff (interviews, workflow mapping, usability tests, prototypes) and used the evidence to decide whether to fund the build.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Defined requirements for NLP classification that routes inbound requests in a live workflow, removing manual inbox triage. Built churn and engagement analytics: 11.7% annual churn; RFM model retained 78% of high-risk customers.</w:t>
      </w:r>
    </w:p>
    <w:p>
      <w:pPr>
        <w:keepNext w:val="0"/>
        <w:spacing w:before="60" w:after="20" w:line="240" w:lineRule="auto"/>
      </w:pPr>
      <w:r>
        <w:rPr>
          <w:rFonts w:ascii="Calibri" w:hAnsi="Calibri" w:cs="Calibri"/>
          <w:b w:val="0"/>
          <w:i w:val="0"/>
          <w:color w:val="78716C"/>
          <w:sz w:val="18"/>
        </w:rPr>
        <w:t>Earlier: Strategy Consultant, 180 Degrees Consulting (nonprofit acquisition strategy, bounce rate down 37%, subscriptions doubled)  •  SEO Consultant, Convertus (75+ client sites, organic performance up ~150%)</w:t>
      </w:r>
    </w:p>
    <w:p>
      <w:pPr>
        <w:keepNext w:val="0"/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rFonts w:ascii="Calibri" w:hAnsi="Calibri" w:cs="Calibri"/>
          <w:b/>
          <w:i w:val="0"/>
          <w:color w:val="6D28D9"/>
          <w:sz w:val="21"/>
        </w:rPr>
        <w:t>EDUCATION</w:t>
      </w:r>
    </w:p>
    <w:p>
      <w:pPr>
        <w:keepNext/>
        <w:spacing w:before="60" w:after="0" w:line="240" w:lineRule="auto"/>
      </w:pPr>
      <w:r>
        <w:rPr>
          <w:rFonts w:ascii="Calibri" w:hAnsi="Calibri" w:cs="Calibri"/>
          <w:b/>
          <w:i w:val="0"/>
          <w:color w:val="1C1917"/>
          <w:sz w:val="21"/>
        </w:rPr>
        <w:t>Master of Business Analytics  |  University of British Columbia</w:t>
      </w:r>
      <w:r>
        <w:rPr>
          <w:rFonts w:ascii="Calibri" w:hAnsi="Calibri" w:cs="Calibri"/>
          <w:b w:val="0"/>
          <w:i w:val="0"/>
          <w:color w:val="78716C"/>
          <w:sz w:val="18"/>
        </w:rPr>
        <w:t xml:space="preserve">    </w:t>
      </w:r>
    </w:p>
    <w:p>
      <w:pPr>
        <w:keepNext/>
        <w:spacing w:before="0" w:after="20" w:line="240" w:lineRule="auto"/>
      </w:pPr>
      <w:r>
        <w:rPr>
          <w:rFonts w:ascii="Calibri" w:hAnsi="Calibri" w:cs="Calibri"/>
          <w:b w:val="0"/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 w:val="0"/>
        <w:spacing w:before="60" w:after="0" w:line="240" w:lineRule="auto"/>
      </w:pPr>
      <w:r>
        <w:rPr>
          <w:rFonts w:ascii="Calibri" w:hAnsi="Calibri" w:cs="Calibri"/>
          <w:b/>
          <w:i w:val="0"/>
          <w:color w:val="1C1917"/>
          <w:sz w:val="21"/>
        </w:rPr>
        <w:t>Bachelor of Business Administration (Marketing)  |  British Columbia Institute of Technology</w:t>
      </w:r>
      <w:r>
        <w:rPr>
          <w:rFonts w:ascii="Calibri" w:hAnsi="Calibri" w:cs="Calibri"/>
          <w:b w:val="0"/>
          <w:i w:val="0"/>
          <w:color w:val="78716C"/>
          <w:sz w:val="18"/>
        </w:rPr>
        <w:t xml:space="preserve">    </w:t>
      </w:r>
    </w:p>
    <w:p>
      <w:pPr>
        <w:keepNext w:val="0"/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rFonts w:ascii="Calibri" w:hAnsi="Calibri" w:cs="Calibri"/>
          <w:b/>
          <w:i w:val="0"/>
          <w:color w:val="6D28D9"/>
          <w:sz w:val="21"/>
        </w:rPr>
        <w:t>LEADERSHIP</w:t>
      </w:r>
    </w:p>
    <w:p>
      <w:pPr>
        <w:keepNext w:val="0"/>
        <w:spacing w:before="20" w:after="20" w:line="240" w:lineRule="auto"/>
      </w:pPr>
      <w:r>
        <w:rPr>
          <w:rFonts w:ascii="Calibri" w:hAnsi="Calibri" w:cs="Calibri"/>
          <w:b w:val="0"/>
          <w:i w:val="0"/>
          <w:color w:val="44403C"/>
          <w:sz w:val="19"/>
        </w:rPr>
        <w:t>Speaker, ProductCamp BC (2025) — “How Legacy Industries Can Adopt a Product Mindset to Improve Service Delivery.”  Mentor, ProductBC — discovery, roadmap judgment, and stakeholder communication.</w:t>
      </w:r>
    </w:p>
    <w:p>
      <w:pPr>
        <w:keepNext w:val="0"/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rFonts w:ascii="Calibri" w:hAnsi="Calibri" w:cs="Calibri"/>
          <w:b/>
          <w:i w:val="0"/>
          <w:color w:val="6D28D9"/>
          <w:sz w:val="21"/>
        </w:rPr>
        <w:t>SKILLS</w:t>
      </w:r>
    </w:p>
    <w:p>
      <w:pPr>
        <w:spacing w:before="20" w:after="0" w:line="240" w:lineRule="auto"/>
      </w:pPr>
      <w:r>
        <w:rPr>
          <w:rFonts w:ascii="Calibri" w:hAnsi="Calibri" w:cs="Calibri"/>
          <w:b/>
          <w:i w:val="0"/>
          <w:color w:val="5B21B6"/>
          <w:sz w:val="18"/>
        </w:rPr>
        <w:t xml:space="preserve">Product:  </w:t>
      </w:r>
      <w:r>
        <w:rPr>
          <w:rFonts w:ascii="Calibri" w:hAnsi="Calibri" w:cs="Calibri"/>
          <w:b w:val="0"/>
          <w:i w:val="0"/>
          <w:color w:val="44403C"/>
          <w:sz w:val="18"/>
        </w:rPr>
        <w:t>Strategy &amp; roadmap  •  0-to-1  •  Customer discovery  •  Specs &amp; acceptance criteria  •  Trade-off decisions  •  Phased rollouts  •  Success metrics &amp; experiments</w:t>
      </w:r>
    </w:p>
    <w:p>
      <w:pPr>
        <w:spacing w:before="20" w:after="0" w:line="240" w:lineRule="auto"/>
      </w:pPr>
      <w:r>
        <w:rPr>
          <w:rFonts w:ascii="Calibri" w:hAnsi="Calibri" w:cs="Calibri"/>
          <w:b/>
          <w:i w:val="0"/>
          <w:color w:val="5B21B6"/>
          <w:sz w:val="18"/>
        </w:rPr>
        <w:t xml:space="preserve">Healthcare:  </w:t>
      </w:r>
      <w:r>
        <w:rPr>
          <w:rFonts w:ascii="Calibri" w:hAnsi="Calibri" w:cs="Calibri"/>
          <w:b w:val="0"/>
          <w:i w:val="0"/>
          <w:color w:val="44403C"/>
          <w:sz w:val="18"/>
        </w:rPr>
        <w:t>EMR/EHR integrations  •  Clinical review &amp; authorization workflows  •  Eligibility identification  •  Provider billing &amp; claims rules  •  Healthcare operations</w:t>
      </w:r>
    </w:p>
    <w:p>
      <w:pPr>
        <w:spacing w:before="20" w:after="0" w:line="240" w:lineRule="auto"/>
      </w:pPr>
      <w:r>
        <w:rPr>
          <w:rFonts w:ascii="Calibri" w:hAnsi="Calibri" w:cs="Calibri"/>
          <w:b/>
          <w:i w:val="0"/>
          <w:color w:val="5B21B6"/>
          <w:sz w:val="18"/>
        </w:rPr>
        <w:t xml:space="preserve">AI:  </w:t>
      </w:r>
      <w:r>
        <w:rPr>
          <w:rFonts w:ascii="Calibri" w:hAnsi="Calibri" w:cs="Calibri"/>
          <w:b w:val="0"/>
          <w:i w:val="0"/>
          <w:color w:val="44403C"/>
          <w:sz w:val="18"/>
        </w:rPr>
        <w:t>LLM agents &amp; retrieval  •  Human-in-the-loop design  •  Evidence traces &amp; explainability  •  NLP classification  •  Multi-agent workflows (n8n)</w:t>
      </w:r>
    </w:p>
    <w:p>
      <w:pPr>
        <w:spacing w:before="20" w:after="0" w:line="240" w:lineRule="auto"/>
      </w:pPr>
      <w:r>
        <w:rPr>
          <w:rFonts w:ascii="Calibri" w:hAnsi="Calibri" w:cs="Calibri"/>
          <w:b/>
          <w:i w:val="0"/>
          <w:color w:val="5B21B6"/>
          <w:sz w:val="18"/>
        </w:rPr>
        <w:t xml:space="preserve">Technical:  </w:t>
      </w:r>
      <w:r>
        <w:rPr>
          <w:rFonts w:ascii="Calibri" w:hAnsi="Calibri" w:cs="Calibri"/>
          <w:b w:val="0"/>
          <w:i w:val="0"/>
          <w:color w:val="44403C"/>
          <w:sz w:val="18"/>
        </w:rPr>
        <w:t>SQL  •  Python  •  REST APIs  •  JSON/FHIR design  •  Azure API Management  •  OAuth 2.0  •  Cursor  •  GitHub Copilot  •  Lovable  •  Figma  •  PostHog  •  Jira  •  Azure DevOps</w:t>
      </w:r>
    </w:p>
    <w:sectPr w:rsidR="00FC693F" w:rsidRPr="0006063C" w:rsidSect="00034616">
      <w:pgSz w:w="12240" w:h="15840"/>
      <w:pgMar w:top="709" w:right="964" w:bottom="65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