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AF9F6"/>
  <w:body>
    <w:p w14:paraId="287DFB00" w14:textId="77777777" w:rsidR="00314B02" w:rsidRDefault="00000000">
      <w:pPr>
        <w:jc w:val="center"/>
      </w:pPr>
      <w:r>
        <w:rPr>
          <w:b/>
          <w:color w:val="1C1917"/>
          <w:sz w:val="36"/>
        </w:rPr>
        <w:t>KHUSHBOO DODANI</w:t>
      </w:r>
    </w:p>
    <w:p w14:paraId="0412F357" w14:textId="77777777" w:rsidR="00314B02" w:rsidRDefault="00000000">
      <w:pPr>
        <w:jc w:val="center"/>
      </w:pPr>
      <w:r>
        <w:rPr>
          <w:color w:val="78716C"/>
          <w:sz w:val="18"/>
        </w:rPr>
        <w:t xml:space="preserve">San Francisco Bay Area  |  khushdodani@gmail.com  |  </w:t>
      </w:r>
      <w:hyperlink r:id="rId6">
        <w:r>
          <w:rPr>
            <w:color w:val="78716C"/>
            <w:sz w:val="18"/>
            <w:szCs w:val="18"/>
            <w:u w:val="single"/>
          </w:rPr>
          <w:t>LinkedIn</w:t>
        </w:r>
      </w:hyperlink>
      <w:r>
        <w:rPr>
          <w:color w:val="78716C"/>
          <w:sz w:val="18"/>
        </w:rPr>
        <w:t xml:space="preserve">  |  </w:t>
      </w:r>
      <w:hyperlink r:id="rId7">
        <w:r>
          <w:rPr>
            <w:color w:val="78716C"/>
            <w:sz w:val="18"/>
            <w:szCs w:val="18"/>
            <w:u w:val="single"/>
          </w:rPr>
          <w:t>GitHub</w:t>
        </w:r>
      </w:hyperlink>
      <w:r>
        <w:rPr>
          <w:color w:val="78716C"/>
          <w:sz w:val="18"/>
        </w:rPr>
        <w:t xml:space="preserve">  |  </w:t>
      </w:r>
      <w:hyperlink r:id="rId8">
        <w:r>
          <w:rPr>
            <w:color w:val="78716C"/>
            <w:sz w:val="18"/>
            <w:szCs w:val="18"/>
            <w:u w:val="single"/>
          </w:rPr>
          <w:t>Portfolio</w:t>
        </w:r>
      </w:hyperlink>
    </w:p>
    <w:p w14:paraId="660DF6E4" w14:textId="77777777" w:rsidR="00314B02" w:rsidRDefault="00000000">
      <w:pPr>
        <w:spacing w:before="20"/>
        <w:jc w:val="center"/>
      </w:pPr>
      <w:r>
        <w:rPr>
          <w:b/>
          <w:color w:val="6D28D9"/>
          <w:sz w:val="23"/>
        </w:rPr>
        <w:t>PRODUCT MANAGER  —  CARE DELIVERY</w:t>
      </w:r>
    </w:p>
    <w:p w14:paraId="40C58210" w14:textId="77777777" w:rsidR="00314B02" w:rsidRDefault="00000000">
      <w:pPr>
        <w:spacing w:after="20"/>
        <w:jc w:val="center"/>
      </w:pPr>
      <w:r>
        <w:rPr>
          <w:color w:val="5B21B6"/>
          <w:sz w:val="18"/>
        </w:rPr>
        <w:t>Provider Workflows  •  Clinical Documentation &amp; EHR  •  Billing &amp; Quality Rules  •  Platform Primitives</w:t>
      </w:r>
    </w:p>
    <w:p w14:paraId="741B759A" w14:textId="77777777" w:rsidR="00314B02" w:rsidRDefault="00314B02">
      <w:pPr>
        <w:keepNext/>
        <w:pBdr>
          <w:bottom w:val="single" w:sz="6" w:space="1" w:color="6D28D9"/>
        </w:pBdr>
        <w:spacing w:before="20" w:after="20"/>
      </w:pPr>
    </w:p>
    <w:p w14:paraId="5C7B9452" w14:textId="77777777" w:rsidR="00314B02" w:rsidRDefault="00000000">
      <w:pPr>
        <w:spacing w:before="40" w:after="40"/>
      </w:pPr>
      <w:r>
        <w:t>Product manager for the infrastructure of care delivery: provider workflows, billing and eligibility rules, clinical documentation and EHR connectivity, and platform pieces reused across programs. Works daily with engineering, design, clinical operations, and physicians. At WorkSafeBC: rebuilt the invoice portal for high-volume providers (11 screens to 5, paper 56% → 19%, invalid submissions −40%), kept case-manager review on an $80M physio program, proved a clinical-reporting channel inside OSCAR, and moved 5,600 clinicians to a new login with 0% downtime. $1.23M secured. Master of Business Analytics.</w:t>
      </w:r>
    </w:p>
    <w:p w14:paraId="0BF605E7" w14:textId="77777777" w:rsidR="00314B02" w:rsidRDefault="00314B02">
      <w:pPr>
        <w:keepNext/>
        <w:pBdr>
          <w:bottom w:val="single" w:sz="6" w:space="1" w:color="6D28D9"/>
        </w:pBdr>
        <w:spacing w:before="20" w:after="20"/>
      </w:pPr>
    </w:p>
    <w:p w14:paraId="784D28E9" w14:textId="77777777" w:rsidR="00314B02" w:rsidRDefault="00000000">
      <w:pPr>
        <w:keepNext/>
        <w:spacing w:before="120"/>
      </w:pPr>
      <w:r>
        <w:rPr>
          <w:b/>
          <w:color w:val="6D28D9"/>
          <w:sz w:val="21"/>
        </w:rPr>
        <w:t>EXPERIENCE</w:t>
      </w:r>
    </w:p>
    <w:p w14:paraId="4327631D" w14:textId="77777777" w:rsidR="00314B02" w:rsidRDefault="00000000">
      <w:pPr>
        <w:keepNext/>
        <w:spacing w:before="80"/>
      </w:pPr>
      <w:r>
        <w:rPr>
          <w:b/>
          <w:color w:val="1C1917"/>
          <w:sz w:val="21"/>
        </w:rPr>
        <w:t>Product Manager — Provider &amp; Clinician Experience  |  WorkSafeBC</w:t>
      </w:r>
      <w:r>
        <w:rPr>
          <w:color w:val="78716C"/>
          <w:sz w:val="18"/>
        </w:rPr>
        <w:t xml:space="preserve">    Apr 2024 – Present</w:t>
      </w:r>
    </w:p>
    <w:p w14:paraId="59121BBC" w14:textId="352D9B41" w:rsidR="00314B02" w:rsidRDefault="00000000">
      <w:pPr>
        <w:keepNext/>
        <w:spacing w:before="40"/>
      </w:pPr>
      <w:r>
        <w:rPr>
          <w:b/>
          <w:color w:val="4F46E5"/>
        </w:rPr>
        <w:t xml:space="preserve">Own provider workflows end to end: PIS invoicing </w:t>
      </w:r>
    </w:p>
    <w:p w14:paraId="26BEF116" w14:textId="77777777" w:rsidR="00314B02" w:rsidRDefault="00000000">
      <w:pPr>
        <w:pStyle w:val="ListBullet"/>
        <w:spacing w:before="10" w:after="10"/>
        <w:ind w:left="288" w:hanging="202"/>
      </w:pPr>
      <w:r>
        <w:t>Fragmented workflow: 3.7M invoice lines a year across mail, fax, batch, and the portal (8.7% digital). The portal allowed 1 claim, 1 invoice reference, and about 32 lines. 25 of 3,795 organizations produced half of remaining paper; a taxi provider with 1,900 lines a month could not use it, and hearing-aid providers who faxed digitally still had staff re-key their forms.</w:t>
      </w:r>
    </w:p>
    <w:p w14:paraId="0633A127" w14:textId="77777777" w:rsidR="00314B02" w:rsidRDefault="00000000">
      <w:pPr>
        <w:pStyle w:val="ListBullet"/>
        <w:spacing w:before="10" w:after="10"/>
        <w:ind w:left="288" w:hanging="202"/>
      </w:pPr>
      <w:r>
        <w:t>Shipped multi-claim and multi-invoice entry, line duplication, bulk delete, and real-time validation, cutting 11 screens to 5. Paper 56% → 19%, portal 39% → 55%, about 60% digital within six months, about $200K saved, about $50K lower processing cost. Secured $500K for invoicing.</w:t>
      </w:r>
    </w:p>
    <w:p w14:paraId="05BA0593" w14:textId="77777777" w:rsidR="00314B02" w:rsidRDefault="00000000">
      <w:pPr>
        <w:pStyle w:val="ListBullet"/>
        <w:spacing w:before="10" w:after="10"/>
        <w:ind w:left="288" w:hanging="202"/>
      </w:pPr>
      <w:r>
        <w:t>Failed submissions: to scale volume, submission to the claims system became asynchronous, so a provider could not tell if a request failed. Built an automatic retry queue; only items still failing after retry email the developers. Providers never track or resend a failed invoice.</w:t>
      </w:r>
    </w:p>
    <w:p w14:paraId="4C7498EA" w14:textId="4B26EC9B" w:rsidR="00314B02" w:rsidRDefault="00000000">
      <w:pPr>
        <w:keepNext/>
        <w:spacing w:before="40"/>
      </w:pPr>
      <w:r>
        <w:rPr>
          <w:b/>
          <w:color w:val="4F46E5"/>
        </w:rPr>
        <w:t xml:space="preserve">Encode program policy, fee schedules, and eligibility </w:t>
      </w:r>
    </w:p>
    <w:p w14:paraId="301B31E9" w14:textId="77777777" w:rsidR="00314B02" w:rsidRDefault="00000000">
      <w:pPr>
        <w:pStyle w:val="ListBullet"/>
        <w:spacing w:before="10" w:after="10"/>
        <w:ind w:left="288" w:hanging="202"/>
      </w:pPr>
      <w:r>
        <w:t>Fee codes load by period from the claims system into table storage and Azure Search. The invoice form requires Date of Service before the fee-code search runs, and the API matches the fee code valid on that date.</w:t>
      </w:r>
    </w:p>
    <w:p w14:paraId="1E567683" w14:textId="77777777" w:rsidR="00314B02" w:rsidRDefault="00000000">
      <w:pPr>
        <w:pStyle w:val="ListBullet"/>
        <w:spacing w:before="10" w:after="10"/>
        <w:ind w:left="288" w:hanging="202"/>
      </w:pPr>
      <w:r>
        <w:t>Contract eligibility: providers see only the services they signed up for, and screening questions point them to the right program before they submit. A known physio versus CVPT payee mismatch stayed on the roadmap for authenticated pre-population.</w:t>
      </w:r>
    </w:p>
    <w:p w14:paraId="760D4246" w14:textId="77777777" w:rsidR="00314B02" w:rsidRDefault="00000000">
      <w:pPr>
        <w:pStyle w:val="ListBullet"/>
        <w:spacing w:before="10" w:after="10"/>
        <w:ind w:left="288" w:hanging="202"/>
      </w:pPr>
      <w:r>
        <w:t>With Healthcare Operations, encoded fee schedules and program rules across about 70 contracted healthcare services so invalid lines fail at submit, not in back-office cleanup. Invalid submissions −40%.</w:t>
      </w:r>
    </w:p>
    <w:p w14:paraId="75B46A97" w14:textId="6A2A8149" w:rsidR="00314B02" w:rsidRDefault="00000000">
      <w:pPr>
        <w:keepNext/>
        <w:spacing w:before="40"/>
      </w:pPr>
      <w:r>
        <w:rPr>
          <w:b/>
          <w:color w:val="4F46E5"/>
        </w:rPr>
        <w:t xml:space="preserve">Provider messaging: physio extension requests and login migration </w:t>
      </w:r>
    </w:p>
    <w:p w14:paraId="256A2A1A" w14:textId="77777777" w:rsidR="00314B02" w:rsidRDefault="00000000">
      <w:pPr>
        <w:pStyle w:val="ListBullet"/>
        <w:spacing w:before="10" w:after="10"/>
        <w:ind w:left="288" w:hanging="202"/>
      </w:pPr>
      <w:r>
        <w:t>Extension requests arrived by fax, phone, and mail. Discovery showed office administrators, not physiotherapists, use the tool, so injured-worker details are entered and validated once instead of rebuilding screen 2 for each of 6 request types.</w:t>
      </w:r>
    </w:p>
    <w:p w14:paraId="74DDFC09" w14:textId="77777777" w:rsidR="00314B02" w:rsidRDefault="00000000">
      <w:pPr>
        <w:pStyle w:val="ListBullet"/>
        <w:spacing w:before="10" w:after="10"/>
        <w:ind w:left="288" w:hanging="202"/>
      </w:pPr>
      <w:r>
        <w:t>Shipped request tracking, a View Details page, error validation, case-manager decision rationale, and the decision email that links to the decision online, with a call-centre fallback. Tested every physio and hydro decision combination with the claims team.</w:t>
      </w:r>
    </w:p>
    <w:p w14:paraId="031AE840" w14:textId="77777777" w:rsidR="00314B02" w:rsidRDefault="00000000">
      <w:pPr>
        <w:pStyle w:val="ListBullet"/>
        <w:spacing w:before="10" w:after="10"/>
        <w:ind w:left="288" w:hanging="202"/>
      </w:pPr>
      <w:r>
        <w:t>BCeID holds no email addresses and the new login runs on email, so every user had to add one by March 27: advisory email, bulletin, three in-product banners, and a call script for clinic administrators.</w:t>
      </w:r>
    </w:p>
    <w:p w14:paraId="3A4C7FD8" w14:textId="67CF4437" w:rsidR="00314B02" w:rsidRDefault="00000000">
      <w:pPr>
        <w:keepNext/>
        <w:spacing w:before="40"/>
      </w:pPr>
      <w:r>
        <w:rPr>
          <w:b/>
          <w:color w:val="4F46E5"/>
        </w:rPr>
        <w:t xml:space="preserve">Decisions where clinical accuracy and provider experience conflict </w:t>
      </w:r>
    </w:p>
    <w:p w14:paraId="23D15BD6" w14:textId="5741648A" w:rsidR="00314B02" w:rsidRDefault="008503C4">
      <w:pPr>
        <w:pStyle w:val="ListBullet"/>
        <w:spacing w:before="10" w:after="10"/>
        <w:ind w:left="288" w:hanging="202"/>
      </w:pPr>
      <w:r>
        <w:t>R</w:t>
      </w:r>
      <w:r w:rsidR="00000000">
        <w:t>ejected auto-approve although 109,693 of 139,380 requests (79%) were always approved, against pushback from architects and senior PMs. 27% resolved the same day, which suggested skimming on $80M of spend, so the investment went to decision rationale. Cut a ping feature (most requests resolve within 3 days); chose a text box over a body map.</w:t>
      </w:r>
    </w:p>
    <w:p w14:paraId="31BCED78" w14:textId="16CBD436" w:rsidR="00314B02" w:rsidRDefault="008503C4">
      <w:pPr>
        <w:pStyle w:val="ListBullet"/>
        <w:spacing w:before="10" w:after="10"/>
        <w:ind w:left="288" w:hanging="202"/>
      </w:pPr>
      <w:r>
        <w:t>K</w:t>
      </w:r>
      <w:r w:rsidR="00000000">
        <w:t>illed a WorkSafeBC-hosted web form after 15 physician interviews showed GPs will not leave their EMR. Split clinical reporting from the 2001 billing spec; chose JSON now with FHIR documented as the upgrade path; started on OSCAR before paid vendors.</w:t>
      </w:r>
    </w:p>
    <w:p w14:paraId="37EEEE6F" w14:textId="2E342545" w:rsidR="00314B02" w:rsidRDefault="008503C4">
      <w:pPr>
        <w:pStyle w:val="ListBullet"/>
        <w:spacing w:before="10" w:after="10"/>
        <w:ind w:left="288" w:hanging="202"/>
      </w:pPr>
      <w:r>
        <w:t>A</w:t>
      </w:r>
      <w:r w:rsidR="00000000">
        <w:t>ccepted one extra required field (Date of Service) for fee-code accuracy. Deferred inline editing (13 story points, about $26K) so providers could submit and be paid first.</w:t>
      </w:r>
    </w:p>
    <w:p w14:paraId="643DE9FF" w14:textId="2385E1CC" w:rsidR="00314B02" w:rsidRDefault="00000000">
      <w:pPr>
        <w:keepNext/>
        <w:spacing w:before="40"/>
      </w:pPr>
      <w:r>
        <w:rPr>
          <w:b/>
          <w:color w:val="4F46E5"/>
        </w:rPr>
        <w:t xml:space="preserve">Hands-on AI and prototyping </w:t>
      </w:r>
    </w:p>
    <w:p w14:paraId="3646B507" w14:textId="703E4B13" w:rsidR="00314B02" w:rsidRDefault="008503C4">
      <w:pPr>
        <w:pStyle w:val="ListBullet"/>
        <w:spacing w:before="10" w:after="10"/>
        <w:ind w:left="288" w:hanging="202"/>
      </w:pPr>
      <w:r>
        <w:t>V</w:t>
      </w:r>
      <w:r w:rsidR="00000000">
        <w:t>alidated the 11-to-5 flow in an AI-built prototype before engineering committed. The legacy Kendo Grid could not render the design, so I adapted it. When design sign-off stalled before launch, had developers build working Lovable prototypes to ship functional value first, and fixed WorkSafeBC-standard issues before best-practice ones.</w:t>
      </w:r>
    </w:p>
    <w:p w14:paraId="519B9BC4" w14:textId="543115D2" w:rsidR="00314B02" w:rsidRDefault="008503C4">
      <w:pPr>
        <w:pStyle w:val="ListBullet"/>
        <w:spacing w:before="10" w:after="10"/>
        <w:ind w:left="288" w:hanging="202"/>
      </w:pPr>
      <w:r>
        <w:t>C</w:t>
      </w:r>
      <w:r w:rsidR="00000000">
        <w:t>ase managers read 20-75 documents per claim to find one referral. With no production data, generated claim scenarios in ChatGPT, had an experienced case manager review them, and gave the approved set to data science. Pushed the team from a ranked list to an interactive mind map (built with Lovable) with evidence and agent-trace views. 2nd of 36 at InnoFest 2025; about $20M potential claim-cost reduction; concept-to-validation about 40% faster.</w:t>
      </w:r>
    </w:p>
    <w:p w14:paraId="59B3A051" w14:textId="1AF6FFFB" w:rsidR="00314B02" w:rsidRDefault="00000000">
      <w:pPr>
        <w:keepNext/>
        <w:spacing w:before="40"/>
      </w:pPr>
      <w:r>
        <w:rPr>
          <w:b/>
          <w:color w:val="4F46E5"/>
        </w:rPr>
        <w:t>Partner with engineering, design, clinical, and operations</w:t>
      </w:r>
    </w:p>
    <w:p w14:paraId="5B1A35C4" w14:textId="655F8A85" w:rsidR="00314B02" w:rsidRDefault="008503C4">
      <w:pPr>
        <w:pStyle w:val="ListBullet"/>
        <w:spacing w:before="10" w:after="10"/>
        <w:ind w:left="288" w:hanging="202"/>
      </w:pPr>
      <w:r>
        <w:t>S</w:t>
      </w:r>
      <w:r w:rsidR="00000000">
        <w:t>hipped on a legacy Kendo Grid in an Angular and .NET stack governed by common engineering. Traced a slowdown (fine at 85 line items, slow at 195) to a test environment a quarter of production size; it moved from 1 to 4 vCPU. Chose the dark-launch cohort and set rules with Healthcare Operations.</w:t>
      </w:r>
    </w:p>
    <w:p w14:paraId="178D8117" w14:textId="31FC3B3D" w:rsidR="00314B02" w:rsidRDefault="00000000">
      <w:pPr>
        <w:pStyle w:val="ListBullet"/>
        <w:spacing w:before="10" w:after="10"/>
        <w:ind w:left="288" w:hanging="202"/>
      </w:pPr>
      <w:r>
        <w:lastRenderedPageBreak/>
        <w:t>15 physician interviews, medical advisors, Doctors of BC, OSCAR and McMaster developers, solution architects, and about 50 EMR vendors. Asked vendors whether one endpoint can take a PDF and its metadata.</w:t>
      </w:r>
    </w:p>
    <w:p w14:paraId="2A9DFD83" w14:textId="08F1298E" w:rsidR="00314B02" w:rsidRDefault="00000000">
      <w:pPr>
        <w:keepNext/>
        <w:spacing w:before="40"/>
      </w:pPr>
      <w:r>
        <w:rPr>
          <w:b/>
          <w:color w:val="4F46E5"/>
        </w:rPr>
        <w:t xml:space="preserve">Regulatory and quality requirements: rehab KPI equivalent </w:t>
      </w:r>
    </w:p>
    <w:p w14:paraId="0A13603D" w14:textId="77777777" w:rsidR="00314B02" w:rsidRDefault="00000000">
      <w:pPr>
        <w:pStyle w:val="ListBullet"/>
        <w:spacing w:before="10" w:after="10"/>
        <w:ind w:left="288" w:hanging="202"/>
      </w:pPr>
      <w:r>
        <w:t>Contracted rehab networks are scored on time to treatment, reporting turnaround, time in program, and return-to-work. The work maps to those: tracking and rationale on treatment decisions, and structured Form 8/11 data (diagnosis codes and return-to-work dates were being guessed inside a 2001 billing spec; about 115,000 forms a year).</w:t>
      </w:r>
    </w:p>
    <w:p w14:paraId="245FA8E1" w14:textId="77777777" w:rsidR="00314B02" w:rsidRDefault="00000000">
      <w:pPr>
        <w:pStyle w:val="ListBullet"/>
        <w:spacing w:before="10" w:after="10"/>
        <w:ind w:left="288" w:hanging="202"/>
      </w:pPr>
      <w:r>
        <w:t>Privacy: a claims partner flagged a possible FIPP concern when payee numbers were typed by hand. Shipped error validation first; authenticated pre-population stayed on the roadmap.</w:t>
      </w:r>
    </w:p>
    <w:p w14:paraId="04DE735E" w14:textId="18BAAF57" w:rsidR="00314B02" w:rsidRDefault="00000000">
      <w:pPr>
        <w:keepNext/>
        <w:spacing w:before="40"/>
      </w:pPr>
      <w:r>
        <w:rPr>
          <w:b/>
          <w:color w:val="4F46E5"/>
        </w:rPr>
        <w:t xml:space="preserve">Instrument, watch, iterate: PostHog </w:t>
      </w:r>
    </w:p>
    <w:p w14:paraId="64FC9664" w14:textId="77777777" w:rsidR="00314B02" w:rsidRDefault="00000000">
      <w:pPr>
        <w:pStyle w:val="ListBullet"/>
        <w:spacing w:before="10" w:after="10"/>
        <w:ind w:left="288" w:hanging="202"/>
      </w:pPr>
      <w:r>
        <w:t>Wrote the PostHog spec before the first slice launched. Tracked daily submissions v1 versus v2, line items per submission, single versus multi-claim and multi-invoice use, the funnel from dashboard to confirmation, error rate by type, successful versus failed submissions, session duration and page leave, optional-field adoption, and volume bands (under 50, 50-100, 100-200 lines).</w:t>
      </w:r>
    </w:p>
    <w:p w14:paraId="492271D7" w14:textId="77777777" w:rsidR="00314B02" w:rsidRDefault="00000000">
      <w:pPr>
        <w:pStyle w:val="ListBullet"/>
        <w:spacing w:before="10" w:after="10"/>
        <w:ind w:left="288" w:hanging="202"/>
      </w:pPr>
      <w:r>
        <w:t>After near-zero adoption in month one, watched real behavior and made the hidden duplicate-line control easier to find. Session data on large sessions drove the performance work. Releases ran dark (10 named providers), soft, then hard; 322K existing digital lines a year stayed untouched.</w:t>
      </w:r>
    </w:p>
    <w:p w14:paraId="49761414" w14:textId="23AD6FAC" w:rsidR="00314B02" w:rsidRDefault="00000000">
      <w:pPr>
        <w:keepNext/>
        <w:spacing w:before="40"/>
      </w:pPr>
      <w:r>
        <w:rPr>
          <w:b/>
          <w:color w:val="4F46E5"/>
        </w:rPr>
        <w:t xml:space="preserve">Platform primitives reused across programs </w:t>
      </w:r>
    </w:p>
    <w:p w14:paraId="51ED2E56" w14:textId="77777777" w:rsidR="00314B02" w:rsidRDefault="00000000">
      <w:pPr>
        <w:pStyle w:val="ListBullet"/>
        <w:spacing w:before="10" w:after="10"/>
        <w:ind w:left="288" w:hanging="202"/>
      </w:pPr>
      <w:r>
        <w:t>An Azure API Management document router built for InfoX, reusable for every future EMR partner. The contract eligibility API serves invoice and extension-request forms. The retry queue, first built for the injured-worker portal, was reused in PIS. $80K secured for EMR integration; $650K for identity.</w:t>
      </w:r>
    </w:p>
    <w:p w14:paraId="131788BD" w14:textId="77777777" w:rsidR="00314B02" w:rsidRDefault="00000000">
      <w:pPr>
        <w:pStyle w:val="ListBullet"/>
        <w:spacing w:before="10" w:after="10"/>
        <w:ind w:left="288" w:hanging="202"/>
      </w:pPr>
      <w:r>
        <w:t>Identity: replaced BCeID with a new login for 5,600 providers across 500 organizations and a portal with 62,000+ annual referrals. 0% downtime, 85% migrated before the deadline, 92% login success. Emulating the BCeID call and passing the same tokens cut about $145K of vendor cost.</w:t>
      </w:r>
    </w:p>
    <w:p w14:paraId="08E578EE" w14:textId="165CBB4B" w:rsidR="00314B02" w:rsidRDefault="00000000">
      <w:pPr>
        <w:keepNext/>
        <w:spacing w:before="40"/>
      </w:pPr>
      <w:r>
        <w:rPr>
          <w:b/>
          <w:color w:val="4F46E5"/>
        </w:rPr>
        <w:t xml:space="preserve">Point of view on AI in care delivery </w:t>
      </w:r>
    </w:p>
    <w:p w14:paraId="665CF3C3" w14:textId="77777777" w:rsidR="00314B02" w:rsidRDefault="00000000">
      <w:pPr>
        <w:pStyle w:val="ListBullet"/>
        <w:spacing w:before="10" w:after="10"/>
        <w:ind w:left="288" w:hanging="202"/>
      </w:pPr>
      <w:r>
        <w:t>AI retrieves and explains; people decide. The same boundary drove two calls: rejecting auto-approve on physio extensions, and not auto-referring in Referral Radar, where every recommendation shows its evidence.</w:t>
      </w:r>
    </w:p>
    <w:p w14:paraId="0C247931" w14:textId="77777777" w:rsidR="008503C4" w:rsidRDefault="008503C4" w:rsidP="008503C4">
      <w:pPr>
        <w:pStyle w:val="ListBullet"/>
        <w:numPr>
          <w:ilvl w:val="0"/>
          <w:numId w:val="0"/>
        </w:numPr>
        <w:spacing w:before="10" w:after="10"/>
        <w:ind w:left="288"/>
      </w:pPr>
    </w:p>
    <w:p w14:paraId="17006D9D" w14:textId="4BB9C49B" w:rsidR="00314B02" w:rsidRDefault="00000000">
      <w:pPr>
        <w:keepNext/>
        <w:spacing w:before="80"/>
      </w:pPr>
      <w:r>
        <w:rPr>
          <w:b/>
          <w:color w:val="1C1917"/>
          <w:sz w:val="21"/>
        </w:rPr>
        <w:t xml:space="preserve">Product Manager (promoted from </w:t>
      </w:r>
      <w:r w:rsidR="008503C4">
        <w:rPr>
          <w:b/>
          <w:color w:val="1C1917"/>
          <w:sz w:val="21"/>
        </w:rPr>
        <w:t>Product</w:t>
      </w:r>
      <w:r>
        <w:rPr>
          <w:b/>
          <w:color w:val="1C1917"/>
          <w:sz w:val="21"/>
        </w:rPr>
        <w:t xml:space="preserve"> Analyst)  |  Technical Safety BC</w:t>
      </w:r>
      <w:r>
        <w:rPr>
          <w:color w:val="78716C"/>
          <w:sz w:val="18"/>
        </w:rPr>
        <w:t xml:space="preserve">    Oct 2021 – Apr 2024</w:t>
      </w:r>
    </w:p>
    <w:p w14:paraId="0679D77C" w14:textId="7D4515BB" w:rsidR="00314B02" w:rsidRDefault="00000000">
      <w:pPr>
        <w:keepNext/>
        <w:spacing w:before="40"/>
      </w:pPr>
      <w:r>
        <w:rPr>
          <w:b/>
          <w:color w:val="4F46E5"/>
        </w:rPr>
        <w:t xml:space="preserve">AI classification and retrieval </w:t>
      </w:r>
    </w:p>
    <w:p w14:paraId="0B4C7369" w14:textId="77777777" w:rsidR="00314B02" w:rsidRDefault="00000000">
      <w:pPr>
        <w:pStyle w:val="ListBullet"/>
        <w:spacing w:before="10" w:after="10"/>
        <w:ind w:left="288" w:hanging="202"/>
      </w:pPr>
      <w:r>
        <w:t>Built an NLP email classification engine that prioritized inbound operational requests by intent and urgency, and designed an internal chatbot that surfaced procedures, documentation, and policy context for support teams.</w:t>
      </w:r>
    </w:p>
    <w:p w14:paraId="0EF441F0" w14:textId="69F63FC4" w:rsidR="00314B02" w:rsidRDefault="00000000">
      <w:pPr>
        <w:keepNext/>
        <w:spacing w:before="40"/>
      </w:pPr>
      <w:r>
        <w:rPr>
          <w:b/>
          <w:color w:val="4F46E5"/>
        </w:rPr>
        <w:t xml:space="preserve">Workflow discovery </w:t>
      </w:r>
    </w:p>
    <w:p w14:paraId="4B924FE8" w14:textId="77777777" w:rsidR="00314B02" w:rsidRDefault="00000000">
      <w:pPr>
        <w:pStyle w:val="ListBullet"/>
        <w:spacing w:before="10" w:after="10"/>
        <w:ind w:left="288" w:hanging="202"/>
      </w:pPr>
      <w:r>
        <w:t>Led discovery for a remote assessment platform for regulated inspections: customer interviews, usability testing, and prototypes across evidence capture, compliance validation, and approval coordination before engineering investment.</w:t>
      </w:r>
    </w:p>
    <w:p w14:paraId="47104834" w14:textId="0F2096FD" w:rsidR="00314B02" w:rsidRDefault="00000000">
      <w:pPr>
        <w:keepNext/>
        <w:spacing w:before="40"/>
      </w:pPr>
      <w:r>
        <w:rPr>
          <w:b/>
          <w:color w:val="4F46E5"/>
        </w:rPr>
        <w:t>Metrics and prioritization</w:t>
      </w:r>
    </w:p>
    <w:p w14:paraId="56AED353" w14:textId="77777777" w:rsidR="00314B02" w:rsidRDefault="00000000">
      <w:pPr>
        <w:pStyle w:val="ListBullet"/>
        <w:spacing w:before="10" w:after="10"/>
        <w:ind w:left="288" w:hanging="202"/>
      </w:pPr>
      <w:r>
        <w:t>Built the analytics leadership used to prioritize retention: 11.7% annual churn, and an RFM segmentation model whose campaigns retained 78% of high-risk customers.</w:t>
      </w:r>
    </w:p>
    <w:p w14:paraId="0BEDE83A" w14:textId="77777777" w:rsidR="00314B02" w:rsidRDefault="00000000">
      <w:pPr>
        <w:keepNext/>
        <w:spacing w:before="80"/>
      </w:pPr>
      <w:r>
        <w:rPr>
          <w:b/>
          <w:color w:val="1C1917"/>
          <w:sz w:val="21"/>
        </w:rPr>
        <w:t>Strategy Consultant  |  180 Degrees Consulting — University of British Columbia</w:t>
      </w:r>
      <w:r>
        <w:rPr>
          <w:color w:val="78716C"/>
          <w:sz w:val="18"/>
        </w:rPr>
        <w:t xml:space="preserve">    Sep 2020 – Oct 2021</w:t>
      </w:r>
    </w:p>
    <w:p w14:paraId="40F2C114" w14:textId="76AAF6BD" w:rsidR="00314B02" w:rsidRDefault="00000000">
      <w:pPr>
        <w:keepNext/>
        <w:spacing w:before="40"/>
      </w:pPr>
      <w:r>
        <w:rPr>
          <w:b/>
          <w:color w:val="4F46E5"/>
        </w:rPr>
        <w:t xml:space="preserve">Customer research </w:t>
      </w:r>
    </w:p>
    <w:p w14:paraId="3BE5E519" w14:textId="77777777" w:rsidR="00314B02" w:rsidRDefault="00000000">
      <w:pPr>
        <w:pStyle w:val="ListBullet"/>
        <w:spacing w:before="10" w:after="10"/>
        <w:ind w:left="288" w:hanging="202"/>
      </w:pPr>
      <w:r>
        <w:t>Developed product and market strategies for nonprofit and clean energy clients. Designed an acquisition strategy for Open Primaries that cut bounce rate 37% and doubled subscriptions.</w:t>
      </w:r>
    </w:p>
    <w:p w14:paraId="7D92B8D5" w14:textId="77777777" w:rsidR="00314B02" w:rsidRDefault="00000000">
      <w:pPr>
        <w:keepNext/>
        <w:spacing w:before="80"/>
      </w:pPr>
      <w:r>
        <w:rPr>
          <w:b/>
          <w:color w:val="1C1917"/>
          <w:sz w:val="21"/>
        </w:rPr>
        <w:t>SEO Consultant  |  Convertus</w:t>
      </w:r>
      <w:r>
        <w:rPr>
          <w:color w:val="78716C"/>
          <w:sz w:val="18"/>
        </w:rPr>
        <w:t xml:space="preserve">    May 2018 – Jul 2019</w:t>
      </w:r>
    </w:p>
    <w:p w14:paraId="00C9D1E6" w14:textId="34A535D2" w:rsidR="00314B02" w:rsidRDefault="00000000">
      <w:pPr>
        <w:keepNext/>
        <w:spacing w:before="40"/>
      </w:pPr>
      <w:r>
        <w:rPr>
          <w:b/>
          <w:color w:val="4F46E5"/>
        </w:rPr>
        <w:t>Analytics and forecasting</w:t>
      </w:r>
    </w:p>
    <w:p w14:paraId="59860440" w14:textId="77777777" w:rsidR="00314B02" w:rsidRDefault="00000000">
      <w:pPr>
        <w:pStyle w:val="ListBullet"/>
        <w:spacing w:before="10" w:after="10"/>
        <w:ind w:left="288" w:hanging="202"/>
      </w:pPr>
      <w:r>
        <w:t>Built acquisition and analytics for 75+ websites (organic performance up about 150%) and a forecasting model that predicted SEO performance with about 85% accuracy.</w:t>
      </w:r>
    </w:p>
    <w:p w14:paraId="055DDEBA" w14:textId="77777777" w:rsidR="00314B02" w:rsidRDefault="00314B02">
      <w:pPr>
        <w:keepNext/>
        <w:pBdr>
          <w:bottom w:val="single" w:sz="6" w:space="1" w:color="6D28D9"/>
        </w:pBdr>
        <w:spacing w:before="20" w:after="20"/>
      </w:pPr>
    </w:p>
    <w:p w14:paraId="7D362B7B" w14:textId="77777777" w:rsidR="00314B02" w:rsidRDefault="00000000">
      <w:pPr>
        <w:keepNext/>
        <w:spacing w:before="120"/>
      </w:pPr>
      <w:r>
        <w:rPr>
          <w:b/>
          <w:color w:val="6D28D9"/>
          <w:sz w:val="21"/>
        </w:rPr>
        <w:t>EDUCATION</w:t>
      </w:r>
    </w:p>
    <w:p w14:paraId="222F0A71" w14:textId="77777777" w:rsidR="00314B02" w:rsidRDefault="00000000">
      <w:pPr>
        <w:keepNext/>
        <w:spacing w:before="80"/>
      </w:pPr>
      <w:r>
        <w:rPr>
          <w:b/>
          <w:color w:val="1C1917"/>
          <w:sz w:val="21"/>
        </w:rPr>
        <w:t>Master of Business Analytics  |  University of British Columbia</w:t>
      </w:r>
      <w:r>
        <w:rPr>
          <w:color w:val="78716C"/>
          <w:sz w:val="18"/>
        </w:rPr>
        <w:t xml:space="preserve">    Python  •  SQL  •  Machine learning  •  Product analytics</w:t>
      </w:r>
    </w:p>
    <w:p w14:paraId="01B0552A" w14:textId="77777777" w:rsidR="00314B02" w:rsidRDefault="00000000">
      <w:pPr>
        <w:keepNext/>
        <w:spacing w:before="80"/>
      </w:pPr>
      <w:r>
        <w:rPr>
          <w:b/>
          <w:color w:val="1C1917"/>
          <w:sz w:val="21"/>
        </w:rPr>
        <w:t>Bachelor of Business Administration (Marketing)  |  British Columbia Institute of Technology</w:t>
      </w:r>
    </w:p>
    <w:p w14:paraId="64BFE401" w14:textId="77777777" w:rsidR="00314B02" w:rsidRDefault="00000000">
      <w:pPr>
        <w:keepNext/>
        <w:spacing w:before="120"/>
      </w:pPr>
      <w:r>
        <w:rPr>
          <w:b/>
          <w:color w:val="6D28D9"/>
          <w:sz w:val="21"/>
        </w:rPr>
        <w:t>LEADERSHIP</w:t>
      </w:r>
    </w:p>
    <w:p w14:paraId="309AD99A" w14:textId="77777777" w:rsidR="00314B02" w:rsidRDefault="00000000">
      <w:pPr>
        <w:spacing w:after="20"/>
      </w:pPr>
      <w:r>
        <w:t>Speaker, ProductCamp BC (2025): legacy industries adopting a product mindset.  Mentor, ProductBC.</w:t>
      </w:r>
    </w:p>
    <w:p w14:paraId="3F9AAE41" w14:textId="77777777" w:rsidR="00314B02" w:rsidRDefault="00314B02">
      <w:pPr>
        <w:keepNext/>
        <w:pBdr>
          <w:bottom w:val="single" w:sz="6" w:space="1" w:color="6D28D9"/>
        </w:pBdr>
        <w:spacing w:before="20" w:after="20"/>
      </w:pPr>
    </w:p>
    <w:p w14:paraId="2C1BCE21" w14:textId="77777777" w:rsidR="00314B02" w:rsidRDefault="00000000">
      <w:pPr>
        <w:keepNext/>
        <w:spacing w:before="120"/>
      </w:pPr>
      <w:r>
        <w:rPr>
          <w:b/>
          <w:color w:val="6D28D9"/>
          <w:sz w:val="21"/>
        </w:rPr>
        <w:t>SKILLS</w:t>
      </w:r>
    </w:p>
    <w:p w14:paraId="41BF8BA6" w14:textId="77777777" w:rsidR="00314B02" w:rsidRDefault="00000000">
      <w:r>
        <w:rPr>
          <w:b/>
          <w:color w:val="5B21B6"/>
          <w:sz w:val="18"/>
        </w:rPr>
        <w:t xml:space="preserve">Care delivery:  </w:t>
      </w:r>
      <w:r>
        <w:rPr>
          <w:sz w:val="18"/>
        </w:rPr>
        <w:t>Provider workflows  •  Clinical documentation  •  Fee schedules  •  Eligibility  •  First-pass yield  •  Messaging</w:t>
      </w:r>
    </w:p>
    <w:p w14:paraId="6C5D39F7" w14:textId="77777777" w:rsidR="00314B02" w:rsidRDefault="00000000">
      <w:r>
        <w:rPr>
          <w:b/>
          <w:color w:val="5B21B6"/>
          <w:sz w:val="18"/>
        </w:rPr>
        <w:t xml:space="preserve">Platform:  </w:t>
      </w:r>
      <w:r>
        <w:rPr>
          <w:sz w:val="18"/>
        </w:rPr>
        <w:t>EHR/EMR  •  Interoperability  •  FHIR  •  REST APIs  •  Azure API Management  •  Azure Search  •  CIAM</w:t>
      </w:r>
    </w:p>
    <w:p w14:paraId="4F85B0B1" w14:textId="77777777" w:rsidR="00314B02" w:rsidRDefault="00000000">
      <w:r>
        <w:rPr>
          <w:b/>
          <w:color w:val="5B21B6"/>
          <w:sz w:val="18"/>
        </w:rPr>
        <w:t xml:space="preserve">Practice:  </w:t>
      </w:r>
      <w:r>
        <w:rPr>
          <w:sz w:val="18"/>
        </w:rPr>
        <w:t>Product discovery  •  Business cases  •  PostHog  •  SQL  •  Python  •  NLP  •  Lovable  •  GitHub Copilot</w:t>
      </w:r>
    </w:p>
    <w:sectPr w:rsidR="00314B02" w:rsidSect="00034616">
      <w:pgSz w:w="12240" w:h="15840"/>
      <w:pgMar w:top="567" w:right="850" w:bottom="482"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25775934">
    <w:abstractNumId w:val="8"/>
  </w:num>
  <w:num w:numId="2" w16cid:durableId="438259182">
    <w:abstractNumId w:val="6"/>
  </w:num>
  <w:num w:numId="3" w16cid:durableId="1092630134">
    <w:abstractNumId w:val="5"/>
  </w:num>
  <w:num w:numId="4" w16cid:durableId="1712878007">
    <w:abstractNumId w:val="4"/>
  </w:num>
  <w:num w:numId="5" w16cid:durableId="1351419284">
    <w:abstractNumId w:val="7"/>
  </w:num>
  <w:num w:numId="6" w16cid:durableId="712507700">
    <w:abstractNumId w:val="3"/>
  </w:num>
  <w:num w:numId="7" w16cid:durableId="860625912">
    <w:abstractNumId w:val="2"/>
  </w:num>
  <w:num w:numId="8" w16cid:durableId="1817140356">
    <w:abstractNumId w:val="1"/>
  </w:num>
  <w:num w:numId="9" w16cid:durableId="10571640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14B02"/>
    <w:rsid w:val="00326F90"/>
    <w:rsid w:val="007730B7"/>
    <w:rsid w:val="008503C4"/>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3CB0501"/>
  <w14:defaultImageDpi w14:val="300"/>
  <w15:docId w15:val="{3BE502B5-BAC4-4ED0-B43E-22DF76ADCA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240" w:lineRule="auto"/>
    </w:pPr>
    <w:rPr>
      <w:rFonts w:ascii="Calibri" w:hAnsi="Calibri" w:cs="Calibri"/>
      <w:color w:val="44403C"/>
      <w:sz w:val="19"/>
    </w:rPr>
  </w:style>
  <w:style w:type="paragraph" w:styleId="Heading1">
    <w:name w:val="heading 1"/>
    <w:basedOn w:val="Normal"/>
    <w:next w:val="Normal"/>
    <w:link w:val="Heading1Ch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kdodani-portfolio.vercel.app" TargetMode="External"/><Relationship Id="rId3" Type="http://schemas.openxmlformats.org/officeDocument/2006/relationships/styles" Target="styles.xml"/><Relationship Id="rId7" Type="http://schemas.openxmlformats.org/officeDocument/2006/relationships/hyperlink" Target="https://github.com/kdodani"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linkedin.com/in/khushdodani" TargetMode="Externa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2</Pages>
  <Words>1494</Words>
  <Characters>8521</Characters>
  <Application>Microsoft Office Word</Application>
  <DocSecurity>0</DocSecurity>
  <Lines>71</Lines>
  <Paragraphs>19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9996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ddodani@student.ubc.ca</cp:lastModifiedBy>
  <cp:revision>2</cp:revision>
  <dcterms:created xsi:type="dcterms:W3CDTF">2013-12-23T23:15:00Z</dcterms:created>
  <dcterms:modified xsi:type="dcterms:W3CDTF">2026-10-23T18:32:00Z</dcterms:modified>
  <cp:category/>
</cp:coreProperties>
</file>