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4A28D9C8" w14:textId="77777777" w:rsidR="00C45B9B" w:rsidRDefault="00000000">
      <w:pPr>
        <w:jc w:val="center"/>
      </w:pPr>
      <w:r>
        <w:rPr>
          <w:b/>
          <w:color w:val="1C1917"/>
          <w:sz w:val="36"/>
        </w:rPr>
        <w:t>KHUSHBOO DODANI</w:t>
      </w:r>
    </w:p>
    <w:p w14:paraId="1C37B343" w14:textId="77777777" w:rsidR="00C45B9B" w:rsidRDefault="00000000">
      <w:pPr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6">
        <w:r>
          <w:rPr>
            <w:color w:val="78716C"/>
            <w:sz w:val="18"/>
            <w:szCs w:val="18"/>
            <w:u w:val="single"/>
          </w:rPr>
          <w:t>LinkedIn</w:t>
        </w:r>
      </w:hyperlink>
      <w:r>
        <w:rPr>
          <w:color w:val="78716C"/>
          <w:sz w:val="18"/>
        </w:rPr>
        <w:t xml:space="preserve">  |  </w:t>
      </w:r>
      <w:hyperlink r:id="rId7">
        <w:r>
          <w:rPr>
            <w:color w:val="78716C"/>
            <w:sz w:val="18"/>
            <w:szCs w:val="18"/>
            <w:u w:val="single"/>
          </w:rPr>
          <w:t>GitHub</w:t>
        </w:r>
      </w:hyperlink>
      <w:r>
        <w:rPr>
          <w:color w:val="78716C"/>
          <w:sz w:val="18"/>
        </w:rPr>
        <w:t xml:space="preserve">  |  </w:t>
      </w:r>
      <w:hyperlink r:id="rId8">
        <w:r>
          <w:rPr>
            <w:color w:val="78716C"/>
            <w:sz w:val="18"/>
            <w:szCs w:val="18"/>
            <w:u w:val="single"/>
          </w:rPr>
          <w:t>Portfolio</w:t>
        </w:r>
      </w:hyperlink>
    </w:p>
    <w:p w14:paraId="1FE4D082" w14:textId="77777777" w:rsidR="00C45B9B" w:rsidRDefault="00000000">
      <w:pPr>
        <w:spacing w:before="20"/>
        <w:jc w:val="center"/>
      </w:pPr>
      <w:r>
        <w:rPr>
          <w:b/>
          <w:color w:val="6D28D9"/>
          <w:sz w:val="23"/>
        </w:rPr>
        <w:t>PRODUCT MANAGER  —  PATIENT EXPERIENCE, ENGAGEMENT &amp; GROWTH</w:t>
      </w:r>
    </w:p>
    <w:p w14:paraId="6598E8EA" w14:textId="7CD407C4" w:rsidR="00C45B9B" w:rsidRDefault="00000000" w:rsidP="00A26123">
      <w:pPr>
        <w:spacing w:after="20"/>
        <w:jc w:val="center"/>
      </w:pPr>
      <w:r>
        <w:rPr>
          <w:color w:val="5B21B6"/>
          <w:sz w:val="18"/>
        </w:rPr>
        <w:t>Patient Journeys  •  Adoption &amp; Trust  •  Retention &amp; Segmentation  •  Clinical Partnership</w:t>
      </w:r>
    </w:p>
    <w:p w14:paraId="06793DF7" w14:textId="77777777" w:rsidR="00A26123" w:rsidRPr="00A26123" w:rsidRDefault="00A26123" w:rsidP="00A26123">
      <w:pPr>
        <w:spacing w:after="20"/>
        <w:jc w:val="center"/>
        <w:rPr>
          <w:sz w:val="18"/>
          <w:szCs w:val="18"/>
        </w:rPr>
      </w:pPr>
    </w:p>
    <w:p w14:paraId="362C3B51" w14:textId="5B772EF8" w:rsidR="00C45B9B" w:rsidRPr="00A26123" w:rsidRDefault="00A26123">
      <w:pPr>
        <w:spacing w:before="40" w:after="40"/>
        <w:rPr>
          <w:sz w:val="18"/>
          <w:szCs w:val="18"/>
          <w:lang w:val="en-CA"/>
        </w:rPr>
      </w:pPr>
      <w:r w:rsidRPr="00A26123">
        <w:rPr>
          <w:sz w:val="18"/>
          <w:szCs w:val="18"/>
          <w:lang w:val="en-CA"/>
        </w:rPr>
        <w:t xml:space="preserve">Product Manager with </w:t>
      </w:r>
      <w:r w:rsidR="006827BA">
        <w:rPr>
          <w:sz w:val="18"/>
          <w:szCs w:val="18"/>
          <w:lang w:val="en-CA"/>
        </w:rPr>
        <w:t>5</w:t>
      </w:r>
      <w:r w:rsidRPr="00A26123">
        <w:rPr>
          <w:sz w:val="18"/>
          <w:szCs w:val="18"/>
          <w:lang w:val="en-CA"/>
        </w:rPr>
        <w:t>+ years of product management experience across healthcare platforms, digital user journeys, and data-driven engagement. Combines user research, funnel analytics, behavioral segmentation, and cross-functional execution to reduce friction, improve adoption, and inform retention strategies. At WorkSafeBC, reduced a healthcare submission journey from 11 steps to 5, contributed to approximately 60% digital adoption within six months, and reduced support calls by 30%. At Technical Safety BC, developed retention analytics and targeted RFM outreach that generated 78% more collections than the existing call strategy in a same-period comparison.</w:t>
      </w:r>
    </w:p>
    <w:p w14:paraId="59EC51E4" w14:textId="77777777" w:rsidR="00C45B9B" w:rsidRDefault="00C45B9B">
      <w:pPr>
        <w:keepNext/>
        <w:pBdr>
          <w:bottom w:val="single" w:sz="6" w:space="1" w:color="6D28D9"/>
        </w:pBdr>
        <w:spacing w:before="20" w:after="20"/>
      </w:pPr>
    </w:p>
    <w:p w14:paraId="5A0E6BE5" w14:textId="77777777" w:rsidR="00C45B9B" w:rsidRDefault="00000000">
      <w:pPr>
        <w:keepNext/>
        <w:spacing w:before="40"/>
      </w:pPr>
      <w:r>
        <w:rPr>
          <w:b/>
          <w:color w:val="6D28D9"/>
          <w:sz w:val="21"/>
        </w:rPr>
        <w:t>EXPERIENCE</w:t>
      </w:r>
    </w:p>
    <w:p w14:paraId="764E28BF" w14:textId="4A22DF5C" w:rsidR="00C45B9B" w:rsidRPr="00A26123" w:rsidRDefault="00000000">
      <w:pPr>
        <w:keepNext/>
        <w:spacing w:before="60"/>
      </w:pPr>
      <w:r w:rsidRPr="00A26123">
        <w:rPr>
          <w:b/>
          <w:sz w:val="21"/>
        </w:rPr>
        <w:t xml:space="preserve">Product Manager — </w:t>
      </w:r>
      <w:r w:rsidR="00A26123" w:rsidRPr="00A26123">
        <w:rPr>
          <w:b/>
          <w:sz w:val="21"/>
        </w:rPr>
        <w:t>Provider &amp; Clinician Experience</w:t>
      </w:r>
      <w:r w:rsidRPr="00A26123">
        <w:rPr>
          <w:b/>
          <w:sz w:val="21"/>
        </w:rPr>
        <w:t xml:space="preserve">  |  </w:t>
      </w:r>
      <w:proofErr w:type="spellStart"/>
      <w:r w:rsidRPr="00A26123">
        <w:rPr>
          <w:b/>
          <w:sz w:val="21"/>
        </w:rPr>
        <w:t>WorkSafeBC</w:t>
      </w:r>
      <w:proofErr w:type="spellEnd"/>
      <w:r w:rsidRPr="00A26123">
        <w:rPr>
          <w:sz w:val="18"/>
        </w:rPr>
        <w:t xml:space="preserve">    Apr 2024 – Present</w:t>
      </w:r>
    </w:p>
    <w:p w14:paraId="7B45A173" w14:textId="77777777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Journey optimization: </w:t>
      </w:r>
      <w:r w:rsidRPr="00A26123">
        <w:rPr>
          <w:iCs/>
          <w:sz w:val="18"/>
          <w:lang w:val="en-CA"/>
        </w:rPr>
        <w:t>Redesigned a logged-in healthcare submission journey from 11 steps to 5, reducing support calls by 30% and increasing NPS by 25 points.</w:t>
      </w:r>
    </w:p>
    <w:p w14:paraId="394FBF33" w14:textId="77777777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Adoption and funnel analysis: </w:t>
      </w:r>
      <w:r w:rsidRPr="00A26123">
        <w:rPr>
          <w:iCs/>
          <w:sz w:val="18"/>
          <w:lang w:val="en-CA"/>
        </w:rPr>
        <w:t xml:space="preserve">Instrumented </w:t>
      </w:r>
      <w:proofErr w:type="spellStart"/>
      <w:r w:rsidRPr="00A26123">
        <w:rPr>
          <w:iCs/>
          <w:sz w:val="18"/>
          <w:lang w:val="en-CA"/>
        </w:rPr>
        <w:t>PostHog</w:t>
      </w:r>
      <w:proofErr w:type="spellEnd"/>
      <w:r w:rsidRPr="00A26123">
        <w:rPr>
          <w:iCs/>
          <w:sz w:val="18"/>
          <w:lang w:val="en-CA"/>
        </w:rPr>
        <w:t xml:space="preserve"> conversion, drop-off, and segment metrics; identified a discoverability issue with the duplicate-line control when early adoption stalled and improved the existing flow rather than expanding scope.</w:t>
      </w:r>
    </w:p>
    <w:p w14:paraId="4366DC45" w14:textId="77777777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Behavioral segmentation: </w:t>
      </w:r>
      <w:r w:rsidRPr="00A26123">
        <w:rPr>
          <w:iCs/>
          <w:sz w:val="18"/>
          <w:lang w:val="en-CA"/>
        </w:rPr>
        <w:t>Analyzed paper-submission patterns across 3,795 provider organizations; identified 25 organizations responsible for approximately half of remaining paper submissions and prioritized the roadmap around this high-impact cohort.</w:t>
      </w:r>
    </w:p>
    <w:p w14:paraId="5C1D2D9D" w14:textId="77777777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Lifecycle communications and onboarding: </w:t>
      </w:r>
      <w:r w:rsidRPr="00A26123">
        <w:rPr>
          <w:iCs/>
          <w:sz w:val="18"/>
          <w:lang w:val="en-CA"/>
        </w:rPr>
        <w:t>Coordinated in-product banners, administrator emails, and a phased rollout to migrate 5,600 clinicians across 500 organizations while maintaining access to critical healthcare systems.</w:t>
      </w:r>
    </w:p>
    <w:p w14:paraId="666BC51D" w14:textId="77777777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Care continuation: </w:t>
      </w:r>
      <w:r w:rsidRPr="00A26123">
        <w:rPr>
          <w:iCs/>
          <w:sz w:val="18"/>
          <w:lang w:val="en-CA"/>
        </w:rPr>
        <w:t>Analyzed 139K historical treatment-continuation requests in an $80M physiotherapy program; retained clinical review while introducing request tracking, decision rationale, and email notifications to make next steps more visible.</w:t>
      </w:r>
    </w:p>
    <w:p w14:paraId="115937E8" w14:textId="55CE5F25" w:rsidR="00A26123" w:rsidRPr="00A26123" w:rsidRDefault="00A26123" w:rsidP="00A26123">
      <w:pPr>
        <w:keepNext/>
        <w:numPr>
          <w:ilvl w:val="0"/>
          <w:numId w:val="10"/>
        </w:numPr>
        <w:spacing w:before="60"/>
        <w:rPr>
          <w:i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Platform strategy: </w:t>
      </w:r>
      <w:r w:rsidRPr="00A26123">
        <w:rPr>
          <w:iCs/>
          <w:sz w:val="18"/>
          <w:lang w:val="en-CA"/>
        </w:rPr>
        <w:t>Secured $80K in executive funding for API-enabled EHR/EMR integrations, defining a roadmap to expand digital connectivity across approximately 70% of the provider ecosystem</w:t>
      </w:r>
      <w:r w:rsidRPr="00A26123">
        <w:rPr>
          <w:i/>
          <w:sz w:val="18"/>
          <w:lang w:val="en-CA"/>
        </w:rPr>
        <w:t>.</w:t>
      </w:r>
    </w:p>
    <w:p w14:paraId="3FEC3717" w14:textId="425A282A" w:rsidR="00C45B9B" w:rsidRDefault="00000000">
      <w:pPr>
        <w:keepNext/>
        <w:spacing w:before="60"/>
      </w:pPr>
      <w:r>
        <w:rPr>
          <w:b/>
          <w:color w:val="1C1917"/>
          <w:sz w:val="21"/>
        </w:rPr>
        <w:t xml:space="preserve">Product Manager (promoted from </w:t>
      </w:r>
      <w:r w:rsidR="00A26123">
        <w:rPr>
          <w:b/>
          <w:color w:val="1C1917"/>
          <w:sz w:val="21"/>
        </w:rPr>
        <w:t>Product</w:t>
      </w:r>
      <w:r>
        <w:rPr>
          <w:b/>
          <w:color w:val="1C1917"/>
          <w:sz w:val="21"/>
        </w:rPr>
        <w:t xml:space="preserve"> Analyst)  |  Technical Safety BC</w:t>
      </w:r>
      <w:r>
        <w:rPr>
          <w:color w:val="78716C"/>
          <w:sz w:val="18"/>
        </w:rPr>
        <w:t xml:space="preserve">    Oct 2021 – Apr 2024</w:t>
      </w:r>
    </w:p>
    <w:p w14:paraId="72885703" w14:textId="77777777" w:rsidR="00A26123" w:rsidRPr="00A26123" w:rsidRDefault="00A26123" w:rsidP="00A26123">
      <w:pPr>
        <w:keepNext/>
        <w:numPr>
          <w:ilvl w:val="0"/>
          <w:numId w:val="11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Retention analytics: </w:t>
      </w:r>
      <w:r w:rsidRPr="00A26123">
        <w:rPr>
          <w:iCs/>
          <w:sz w:val="18"/>
          <w:lang w:val="en-CA"/>
        </w:rPr>
        <w:t>Built an operating-permit view covering approximately 102,000 active permits, quantifying net churn, preventable churn, and permit lifetime value by industry and work class.</w:t>
      </w:r>
    </w:p>
    <w:p w14:paraId="737EF0EB" w14:textId="77777777" w:rsidR="00A26123" w:rsidRPr="00A26123" w:rsidRDefault="00A26123" w:rsidP="00A26123">
      <w:pPr>
        <w:keepNext/>
        <w:numPr>
          <w:ilvl w:val="0"/>
          <w:numId w:val="11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Targeted engagement: </w:t>
      </w:r>
      <w:r w:rsidRPr="00A26123">
        <w:rPr>
          <w:iCs/>
          <w:sz w:val="18"/>
          <w:lang w:val="en-CA"/>
        </w:rPr>
        <w:t>Compared RFM-segmented outreach with the existing call strategy over the same two-week period, with measures defined in advance; the RFM group generated $45,742 in collections versus $25,597 for the existing strategy (approximately 79% higher).</w:t>
      </w:r>
    </w:p>
    <w:p w14:paraId="67ED57B0" w14:textId="77777777" w:rsidR="00A26123" w:rsidRPr="00A26123" w:rsidRDefault="00A26123" w:rsidP="00A26123">
      <w:pPr>
        <w:keepNext/>
        <w:numPr>
          <w:ilvl w:val="0"/>
          <w:numId w:val="11"/>
        </w:numPr>
        <w:spacing w:before="60"/>
        <w:rPr>
          <w:iCs/>
          <w:sz w:val="18"/>
          <w:lang w:val="en-CA"/>
        </w:rPr>
      </w:pPr>
      <w:r w:rsidRPr="00A26123">
        <w:rPr>
          <w:iCs/>
          <w:color w:val="6D28D9"/>
          <w:sz w:val="18"/>
          <w:lang w:val="en-CA"/>
        </w:rPr>
        <w:t xml:space="preserve">Reactivation: </w:t>
      </w:r>
      <w:r w:rsidRPr="00A26123">
        <w:rPr>
          <w:iCs/>
          <w:sz w:val="18"/>
          <w:lang w:val="en-CA"/>
        </w:rPr>
        <w:t>Designed a multi-step email sequence for expired permits; 23% paid following the initial email, based on the campaign's reported results.</w:t>
      </w:r>
    </w:p>
    <w:p w14:paraId="38B2FE77" w14:textId="17C39A85" w:rsidR="00C45B9B" w:rsidRDefault="00000000">
      <w:pPr>
        <w:keepNext/>
        <w:spacing w:before="60"/>
      </w:pPr>
      <w:r>
        <w:rPr>
          <w:b/>
          <w:color w:val="1C1917"/>
          <w:sz w:val="21"/>
        </w:rPr>
        <w:t>Strategy Consultant  |  180 Degrees Consulting — University of British Columbia</w:t>
      </w:r>
      <w:r>
        <w:rPr>
          <w:color w:val="78716C"/>
          <w:sz w:val="18"/>
        </w:rPr>
        <w:t xml:space="preserve">    Sep 2020 – Oct 2021</w:t>
      </w:r>
    </w:p>
    <w:p w14:paraId="45D8E33D" w14:textId="77777777" w:rsidR="00C45B9B" w:rsidRPr="00A26123" w:rsidRDefault="00000000">
      <w:pPr>
        <w:pStyle w:val="ListBullet"/>
        <w:ind w:left="288" w:hanging="202"/>
        <w:rPr>
          <w:sz w:val="18"/>
          <w:szCs w:val="18"/>
        </w:rPr>
      </w:pPr>
      <w:r w:rsidRPr="00A26123">
        <w:rPr>
          <w:sz w:val="18"/>
          <w:szCs w:val="18"/>
        </w:rPr>
        <w:t>Designed a consumer conversion journey for Open Primaries that cut bounce rate 37% and doubled subscriptions.</w:t>
      </w:r>
    </w:p>
    <w:p w14:paraId="2C9263FE" w14:textId="77777777" w:rsidR="00C45B9B" w:rsidRDefault="00000000">
      <w:pPr>
        <w:keepNext/>
        <w:spacing w:before="60"/>
      </w:pPr>
      <w:r>
        <w:rPr>
          <w:b/>
          <w:color w:val="1C1917"/>
          <w:sz w:val="21"/>
        </w:rPr>
        <w:t>SEO Consultant — Consumer Growth  |  Convertus</w:t>
      </w:r>
      <w:r>
        <w:rPr>
          <w:color w:val="78716C"/>
          <w:sz w:val="18"/>
        </w:rPr>
        <w:t xml:space="preserve">    May 2018 – Jul 2019</w:t>
      </w:r>
    </w:p>
    <w:p w14:paraId="0712D008" w14:textId="77777777" w:rsidR="00C45B9B" w:rsidRPr="00A26123" w:rsidRDefault="00000000">
      <w:pPr>
        <w:pStyle w:val="ListBullet"/>
        <w:ind w:left="288" w:hanging="202"/>
        <w:rPr>
          <w:sz w:val="18"/>
          <w:szCs w:val="18"/>
        </w:rPr>
      </w:pPr>
      <w:r w:rsidRPr="00A26123">
        <w:rPr>
          <w:sz w:val="18"/>
          <w:szCs w:val="18"/>
        </w:rPr>
        <w:t>Built acquisition and analytics for 75+ consumer websites, increasing organic performance by about 150%.</w:t>
      </w:r>
    </w:p>
    <w:p w14:paraId="77C384B1" w14:textId="77777777" w:rsidR="00C45B9B" w:rsidRDefault="00C45B9B">
      <w:pPr>
        <w:keepNext/>
        <w:pBdr>
          <w:bottom w:val="single" w:sz="6" w:space="1" w:color="6D28D9"/>
        </w:pBdr>
        <w:spacing w:before="20" w:after="20"/>
      </w:pPr>
    </w:p>
    <w:p w14:paraId="22C66693" w14:textId="77777777" w:rsidR="00C45B9B" w:rsidRDefault="00000000">
      <w:pPr>
        <w:keepNext/>
        <w:spacing w:before="40"/>
      </w:pPr>
      <w:r>
        <w:rPr>
          <w:b/>
          <w:color w:val="6D28D9"/>
          <w:sz w:val="21"/>
        </w:rPr>
        <w:t>EDUCATION</w:t>
      </w:r>
    </w:p>
    <w:p w14:paraId="3059DB03" w14:textId="77777777" w:rsidR="00C45B9B" w:rsidRDefault="00000000">
      <w:pPr>
        <w:keepNext/>
        <w:spacing w:before="60"/>
      </w:pPr>
      <w:r>
        <w:rPr>
          <w:b/>
          <w:color w:val="1C1917"/>
          <w:sz w:val="21"/>
        </w:rPr>
        <w:t>Master of Business Analytics  |  University of British Columbia</w:t>
      </w:r>
    </w:p>
    <w:p w14:paraId="0233D21E" w14:textId="77777777" w:rsidR="00C45B9B" w:rsidRDefault="00000000">
      <w:r>
        <w:rPr>
          <w:color w:val="78716C"/>
          <w:sz w:val="18"/>
        </w:rPr>
        <w:t>Customer lifetime value  •  Gains charts  •  Python  •  SQL  •  R</w:t>
      </w:r>
    </w:p>
    <w:p w14:paraId="19107C14" w14:textId="77777777" w:rsidR="00C45B9B" w:rsidRDefault="00000000">
      <w:pPr>
        <w:keepNext/>
        <w:spacing w:before="60"/>
      </w:pPr>
      <w:r>
        <w:rPr>
          <w:b/>
          <w:color w:val="1C1917"/>
          <w:sz w:val="21"/>
        </w:rPr>
        <w:t>Bachelor of Business Administration (Marketing)  |  British Columbia Institute of Technology</w:t>
      </w:r>
    </w:p>
    <w:p w14:paraId="2874C111" w14:textId="77777777" w:rsidR="00C45B9B" w:rsidRPr="00A26123" w:rsidRDefault="00000000">
      <w:pPr>
        <w:keepNext/>
        <w:spacing w:before="40"/>
        <w:rPr>
          <w:color w:val="6D28D9"/>
        </w:rPr>
      </w:pPr>
      <w:r w:rsidRPr="00A26123">
        <w:rPr>
          <w:b/>
          <w:color w:val="6D28D9"/>
          <w:sz w:val="21"/>
        </w:rPr>
        <w:t>LEADERSHIP</w:t>
      </w:r>
    </w:p>
    <w:p w14:paraId="221F83B1" w14:textId="77777777" w:rsidR="00C45B9B" w:rsidRDefault="00000000">
      <w:pPr>
        <w:spacing w:after="20"/>
      </w:pPr>
      <w:r>
        <w:rPr>
          <w:sz w:val="18"/>
        </w:rPr>
        <w:t>Speaker, ProductCamp BC (2025). Mentor, ProductBC — product discovery, strategy, and career development.</w:t>
      </w:r>
    </w:p>
    <w:p w14:paraId="2E0BE0F6" w14:textId="77777777" w:rsidR="00C45B9B" w:rsidRDefault="00C45B9B">
      <w:pPr>
        <w:keepNext/>
        <w:pBdr>
          <w:bottom w:val="single" w:sz="6" w:space="1" w:color="6D28D9"/>
        </w:pBdr>
        <w:spacing w:before="20" w:after="20"/>
      </w:pPr>
    </w:p>
    <w:p w14:paraId="18C21808" w14:textId="77777777" w:rsidR="00C45B9B" w:rsidRDefault="00000000">
      <w:pPr>
        <w:keepNext/>
        <w:spacing w:before="40"/>
      </w:pPr>
      <w:r>
        <w:rPr>
          <w:b/>
          <w:color w:val="6D28D9"/>
          <w:sz w:val="21"/>
        </w:rPr>
        <w:t>SKILLS</w:t>
      </w:r>
    </w:p>
    <w:p w14:paraId="1A65F788" w14:textId="76BB3BE1" w:rsidR="00A26123" w:rsidRPr="00A26123" w:rsidRDefault="00A26123" w:rsidP="00A26123">
      <w:pPr>
        <w:rPr>
          <w:sz w:val="18"/>
          <w:szCs w:val="18"/>
          <w:lang w:val="en-CA"/>
        </w:rPr>
      </w:pPr>
      <w:r w:rsidRPr="00A26123">
        <w:rPr>
          <w:color w:val="6D28D9"/>
          <w:sz w:val="18"/>
          <w:szCs w:val="18"/>
          <w:lang w:val="en-CA"/>
        </w:rPr>
        <w:t xml:space="preserve">Product Management: </w:t>
      </w:r>
      <w:r w:rsidRPr="00A26123">
        <w:rPr>
          <w:sz w:val="18"/>
          <w:szCs w:val="18"/>
          <w:lang w:val="en-CA"/>
        </w:rPr>
        <w:t>Product Strategy, Roadmaps, Product Discovery, Prioritization, Cross-Functional Leadership, Stakeholder Alignment</w:t>
      </w:r>
    </w:p>
    <w:p w14:paraId="54D5DABF" w14:textId="77777777" w:rsidR="00A26123" w:rsidRPr="00A26123" w:rsidRDefault="00A26123" w:rsidP="00A26123">
      <w:pPr>
        <w:rPr>
          <w:sz w:val="18"/>
          <w:szCs w:val="18"/>
          <w:lang w:val="en-CA"/>
        </w:rPr>
      </w:pPr>
      <w:r w:rsidRPr="00A26123">
        <w:rPr>
          <w:color w:val="6D28D9"/>
          <w:sz w:val="18"/>
          <w:szCs w:val="18"/>
          <w:lang w:val="en-CA"/>
        </w:rPr>
        <w:t xml:space="preserve">Patient &amp; User Experience: </w:t>
      </w:r>
      <w:r w:rsidRPr="00A26123">
        <w:rPr>
          <w:sz w:val="18"/>
          <w:szCs w:val="18"/>
          <w:lang w:val="en-CA"/>
        </w:rPr>
        <w:t>User Journey Mapping, Onboarding, Follow-Up Workflows, Usability Testing, User Research, Adoption Optimization, Trust and Friction Reduction</w:t>
      </w:r>
    </w:p>
    <w:p w14:paraId="2B35B006" w14:textId="77777777" w:rsidR="00A26123" w:rsidRPr="00A26123" w:rsidRDefault="00A26123" w:rsidP="00A26123">
      <w:pPr>
        <w:rPr>
          <w:sz w:val="18"/>
          <w:szCs w:val="18"/>
          <w:lang w:val="en-CA"/>
        </w:rPr>
      </w:pPr>
      <w:r w:rsidRPr="00A26123">
        <w:rPr>
          <w:color w:val="6D28D9"/>
          <w:sz w:val="18"/>
          <w:szCs w:val="18"/>
          <w:lang w:val="en-CA"/>
        </w:rPr>
        <w:t xml:space="preserve">Growth &amp; Analytics: </w:t>
      </w:r>
      <w:r w:rsidRPr="00A26123">
        <w:rPr>
          <w:sz w:val="18"/>
          <w:szCs w:val="18"/>
          <w:lang w:val="en-CA"/>
        </w:rPr>
        <w:t xml:space="preserve">Funnel Analysis, Cohort Analysis, Churn Analysis, Customer Segmentation, RFM, Lifetime Value, Reactivation, Conversion Optimization, </w:t>
      </w:r>
      <w:proofErr w:type="spellStart"/>
      <w:r w:rsidRPr="00A26123">
        <w:rPr>
          <w:sz w:val="18"/>
          <w:szCs w:val="18"/>
          <w:lang w:val="en-CA"/>
        </w:rPr>
        <w:t>PostHog</w:t>
      </w:r>
      <w:proofErr w:type="spellEnd"/>
      <w:r w:rsidRPr="00A26123">
        <w:rPr>
          <w:sz w:val="18"/>
          <w:szCs w:val="18"/>
          <w:lang w:val="en-CA"/>
        </w:rPr>
        <w:t>, Product Metrics</w:t>
      </w:r>
    </w:p>
    <w:p w14:paraId="45AE9977" w14:textId="0651D6C9" w:rsidR="00A26123" w:rsidRPr="00A26123" w:rsidRDefault="00A26123" w:rsidP="00A26123">
      <w:pPr>
        <w:rPr>
          <w:sz w:val="18"/>
          <w:szCs w:val="18"/>
          <w:lang w:val="en-CA"/>
        </w:rPr>
      </w:pPr>
      <w:r w:rsidRPr="00A26123">
        <w:rPr>
          <w:color w:val="6D28D9"/>
          <w:sz w:val="18"/>
          <w:szCs w:val="18"/>
          <w:lang w:val="en-CA"/>
        </w:rPr>
        <w:t xml:space="preserve">Experimentation: </w:t>
      </w:r>
      <w:r w:rsidRPr="00A26123">
        <w:rPr>
          <w:sz w:val="18"/>
          <w:szCs w:val="18"/>
          <w:lang w:val="en-CA"/>
        </w:rPr>
        <w:t xml:space="preserve">Hypothesis-Driven Development, Staged Rollouts, Comparative Testing, A/B Testing </w:t>
      </w:r>
    </w:p>
    <w:p w14:paraId="5642486A" w14:textId="77777777" w:rsidR="00A26123" w:rsidRPr="00A26123" w:rsidRDefault="00A26123" w:rsidP="00A26123">
      <w:pPr>
        <w:rPr>
          <w:sz w:val="18"/>
          <w:szCs w:val="18"/>
          <w:lang w:val="en-CA"/>
        </w:rPr>
      </w:pPr>
      <w:r w:rsidRPr="00A26123">
        <w:rPr>
          <w:color w:val="6D28D9"/>
          <w:sz w:val="18"/>
          <w:szCs w:val="18"/>
          <w:lang w:val="en-CA"/>
        </w:rPr>
        <w:t xml:space="preserve">Healthcare &amp; Technology: </w:t>
      </w:r>
      <w:r w:rsidRPr="00A26123">
        <w:rPr>
          <w:sz w:val="18"/>
          <w:szCs w:val="18"/>
          <w:lang w:val="en-CA"/>
        </w:rPr>
        <w:t>Healthcare Operations, Clinician Experience, Clinical Workflows, Telehealth, EHR/EMR Integrations, REST APIs, SQL, Python, AI-Enabled Products</w:t>
      </w:r>
    </w:p>
    <w:sectPr w:rsidR="00A26123" w:rsidRPr="00A26123" w:rsidSect="00034616">
      <w:pgSz w:w="12240" w:h="15840"/>
      <w:pgMar w:top="567" w:right="850" w:bottom="48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318B5"/>
    <w:multiLevelType w:val="multilevel"/>
    <w:tmpl w:val="1C3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21C5E"/>
    <w:multiLevelType w:val="multilevel"/>
    <w:tmpl w:val="0D8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32443">
    <w:abstractNumId w:val="8"/>
  </w:num>
  <w:num w:numId="2" w16cid:durableId="144320024">
    <w:abstractNumId w:val="6"/>
  </w:num>
  <w:num w:numId="3" w16cid:durableId="1148278551">
    <w:abstractNumId w:val="5"/>
  </w:num>
  <w:num w:numId="4" w16cid:durableId="509834303">
    <w:abstractNumId w:val="4"/>
  </w:num>
  <w:num w:numId="5" w16cid:durableId="482158434">
    <w:abstractNumId w:val="7"/>
  </w:num>
  <w:num w:numId="6" w16cid:durableId="1625383335">
    <w:abstractNumId w:val="3"/>
  </w:num>
  <w:num w:numId="7" w16cid:durableId="1683240527">
    <w:abstractNumId w:val="2"/>
  </w:num>
  <w:num w:numId="8" w16cid:durableId="130563942">
    <w:abstractNumId w:val="1"/>
  </w:num>
  <w:num w:numId="9" w16cid:durableId="367146384">
    <w:abstractNumId w:val="0"/>
  </w:num>
  <w:num w:numId="10" w16cid:durableId="1778400539">
    <w:abstractNumId w:val="9"/>
  </w:num>
  <w:num w:numId="11" w16cid:durableId="192001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6D0"/>
    <w:rsid w:val="006827BA"/>
    <w:rsid w:val="00911774"/>
    <w:rsid w:val="00A26123"/>
    <w:rsid w:val="00AA1D8D"/>
    <w:rsid w:val="00B47730"/>
    <w:rsid w:val="00C45B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3EAC9"/>
  <w14:defaultImageDpi w14:val="300"/>
  <w15:docId w15:val="{3D27F5EE-8CF9-4D43-A9A4-BBC83EAD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Calibri"/>
      <w:color w:val="44403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odani-portfolio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dod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hushdodan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ddodani@student.ubc.ca</cp:lastModifiedBy>
  <cp:revision>4</cp:revision>
  <cp:lastPrinted>2026-10-21T20:55:00Z</cp:lastPrinted>
  <dcterms:created xsi:type="dcterms:W3CDTF">2013-12-23T23:15:00Z</dcterms:created>
  <dcterms:modified xsi:type="dcterms:W3CDTF">2026-10-21T20:55:00Z</dcterms:modified>
  <cp:category/>
</cp:coreProperties>
</file>