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US work authorization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Connected Workflows  •  Partner Integrations  •  Admin Trust &amp; Permissions  •  AI in the Product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80"/>
      </w:pPr>
      <w:r>
        <w:rPr>
          <w:i w:val="0"/>
          <w:color w:val="44403C"/>
          <w:sz w:val="19"/>
        </w:rPr>
        <w:t>Product manager who gets a connection adopted inside the tool people already use, then scales it. At WorkSafeBC, redirected clinical reporting from another web form to a direct API inside the EMR physicians would not leave — a reusable gateway, partner onboarding, and a roadmap covering about 70% of the vendor ecosystem — and cut a separate high-volume submission flow from 11 screens to 5 (paper share 56% to 19%). Makes tradeoffs across user experience, trust, technical complexity, and speed, and uses AI both to prototype and to ship.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Connected systems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Discovery showed physicians would not leave their EMR for a portal or another web form. Redirected the program to a direct API installed inside OSCAR, the open-source EMR used as the beachhead, then sequenced commercial vendors from that proof.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Owned the integration decisions with architects: JSON for the March 2025 proof of concept, HL7 FHIR documented as the upgrade path, and Azure APIM as a reusable gateway instead of a point-to-point integration per vendor. Engineering implemented OAuth 2.0 / mTLS on that gateway.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Secured $80K in Innovation Council funding. Led outreach to 50 EMR vendors and defined onboarding needs — API documentation and a Postman schema, with engineering — for a roadmap covering about 70% of the provider ecosystem.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One strategy across segments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25 of 3,795 organizations generated half of the remaining paper (~280K line items). Set one channel strategy for those segments — redesigned portal, bulk vendor upload, and direct EMR — so differing needs became a roadmap rather than a list of one-off requests.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Cut the submission journey from 11 screens to 5. Paper share of line items fell from 56% to 19%; digital channel share rose from 39% to 55%; support calls fell 30%; NPS rose 25; about $200K annual savings. Secured $580K to scale. Instrumented PostHog before launch and ran named-cohort dark, soft, and hard launches.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Trust and admin rollout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the identity migration for 5,600 professionals across 500 organizations on a portal carrying 62,000+ annual referrals — zero service disruptions, and 100% of active accounts transitioned on deadline.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On an $80M program, 79% of 139K requests were always approved. With policy and risk partners, declined auto-approval so a human kept the decision, and shipped tracking, validation, and decision rationale.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Prototyped Referral Radar, an LLM/RAG assistant that recommended the next referral and kept the clinician as the decision-maker. Placed 2nd of 36 at InnoFest 2025.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(promoted from Business Analyst)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Shipped NLP email classification into a live routing workflow, automating triage of incoming requests across multiple operational stakeholders.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remote-inspections platform — field interviews, workflow mapping, and usability testing — and used that evidence to decide whether to invest in the build.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Established the outcome metrics leadership used to prioritize retention: an 11.7% average annual churn rate, and an RFM segmentation model whose campaigns retained 78% of high-risk customers.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a growth strategy for Open Primaries that cut bounce rate 37% while doubling subscriptions.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SEO Consultant — Growth &amp; Analytics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acquisition and forecasting systems for 75+ digital properties: organic performance ~150%, SEO forecast accuracy ~85%.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>
      <w:pPr>
        <w:spacing w:before="40" w:after="40"/>
      </w:pPr>
      <w:r>
        <w:rPr>
          <w:i w:val="0"/>
          <w:color w:val="44403C"/>
          <w:sz w:val="19"/>
        </w:rPr>
        <w:t>ProductCamp BC speaker (2025): “How Legacy Industries Can Adopt a Product Mindset.” Mentor, ProductBC.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Discovery to Roadmap  •  0→1 and Scale  •  Multi-segment Strategy  •  Tradeoffs across UX, Trust, Complexity, and Speed  •  Instrumentation and Launch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Platform and trust:  </w:t>
      </w:r>
      <w:r>
        <w:rPr>
          <w:color w:val="44403C"/>
          <w:sz w:val="18"/>
        </w:rPr>
        <w:t>Partner Integrations  •  API Onboarding  •  Identity and Admin Rollout  •  Permissions and Human Decision Boundaries  •  External Systems of Record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Technical and AI:  </w:t>
      </w:r>
      <w:r>
        <w:rPr>
          <w:color w:val="44403C"/>
          <w:sz w:val="18"/>
        </w:rPr>
        <w:t>REST APIs  •  Azure APIM  •  OAuth 2.0 as a Product Surface  •  SQL  •  Python  •  PostHog  •  LLM / RAG Product Design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