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0" w:line="240" w:lineRule="auto"/>
        <w:jc w:val="center"/>
      </w:pPr>
      <w:r>
        <w:rPr>
          <w:rFonts w:ascii="Calibri" w:hAnsi="Calibri" w:cs="Calibri"/>
          <w:b/>
          <w:i w:val="0"/>
          <w:color w:val="1C1917"/>
          <w:sz w:val="36"/>
        </w:rPr>
        <w:t>KHUSHBOO DODANI</w:t>
      </w:r>
    </w:p>
    <w:p>
      <w:pPr>
        <w:spacing w:before="20" w:after="0" w:line="240" w:lineRule="auto"/>
        <w:jc w:val="center"/>
      </w:pPr>
      <w:r>
        <w:rPr>
          <w:rFonts w:ascii="Calibri" w:hAnsi="Calibri" w:cs="Calibri"/>
          <w:b w:val="0"/>
          <w:i w:val="0"/>
          <w:color w:val="78716C"/>
          <w:sz w:val="18"/>
        </w:rPr>
        <w:t xml:space="preserve">San Francisco Bay Area  |  US work authorization  |  khushdodani@gmail.com  |  </w:t>
      </w:r>
      <w:hyperlink r:id="rId9">
        <w:r>
          <w:rPr>
            <w:rFonts w:ascii="Calibri" w:hAnsi="Calibri" w:cs="Calibri"/>
            <w:color w:val="78716C"/>
            <w:sz w:val="18"/>
            <w:szCs w:val="18"/>
            <w:u w:val="single"/>
          </w:rPr>
          <w:t xml:space="preserve">LinkedIn</w:t>
        </w:r>
      </w:hyperlink>
      <w:r>
        <w:rPr>
          <w:rFonts w:ascii="Calibri" w:hAnsi="Calibri" w:cs="Calibri"/>
          <w:b w:val="0"/>
          <w:i w:val="0"/>
          <w:color w:val="78716C"/>
          <w:sz w:val="18"/>
        </w:rPr>
        <w:t xml:space="preserve">  |  </w:t>
      </w:r>
      <w:hyperlink r:id="rId10">
        <w:r>
          <w:rPr>
            <w:rFonts w:ascii="Calibri" w:hAnsi="Calibri" w:cs="Calibri"/>
            <w:color w:val="78716C"/>
            <w:sz w:val="18"/>
            <w:szCs w:val="18"/>
            <w:u w:val="single"/>
          </w:rPr>
          <w:t xml:space="preserve">GitHub</w:t>
        </w:r>
      </w:hyperlink>
      <w:r>
        <w:rPr>
          <w:rFonts w:ascii="Calibri" w:hAnsi="Calibri" w:cs="Calibri"/>
          <w:b w:val="0"/>
          <w:i w:val="0"/>
          <w:color w:val="78716C"/>
          <w:sz w:val="18"/>
        </w:rPr>
        <w:t xml:space="preserve">  |  </w:t>
      </w:r>
      <w:hyperlink r:id="rId11">
        <w:r>
          <w:rPr>
            <w:rFonts w:ascii="Calibri" w:hAnsi="Calibri" w:cs="Calibri"/>
            <w:color w:val="78716C"/>
            <w:sz w:val="18"/>
            <w:szCs w:val="18"/>
            <w:u w:val="single"/>
          </w:rPr>
          <w:t xml:space="preserve">Portfolio</w:t>
        </w:r>
      </w:hyperlink>
    </w:p>
    <w:p>
      <w:pPr>
        <w:spacing w:before="20" w:after="0" w:line="240" w:lineRule="auto"/>
        <w:jc w:val="center"/>
      </w:pPr>
      <w:r>
        <w:rPr>
          <w:rFonts w:ascii="Calibri" w:hAnsi="Calibri" w:cs="Calibri"/>
          <w:b/>
          <w:i w:val="0"/>
          <w:color w:val="6D28D9"/>
          <w:sz w:val="24"/>
        </w:rPr>
        <w:t>SENIOR PRODUCT MANAGER — PROVIDER EXPERIENCE</w:t>
      </w:r>
    </w:p>
    <w:p>
      <w:pPr>
        <w:spacing w:before="0" w:after="20" w:line="240" w:lineRule="auto"/>
        <w:jc w:val="center"/>
      </w:pPr>
      <w:r>
        <w:rPr>
          <w:rFonts w:ascii="Calibri" w:hAnsi="Calibri" w:cs="Calibri"/>
          <w:b w:val="0"/>
          <w:i w:val="0"/>
          <w:color w:val="5B21B6"/>
          <w:sz w:val="18"/>
        </w:rPr>
        <w:t>Clinician Workflows  •  Provider Adoption &amp; Go-to-Market  •  Ordering &amp; Approval Flows  •  EHR Integrations</w:t>
      </w:r>
    </w:p>
    <w:p>
      <w:pPr>
        <w:keepNext w:val="0"/>
        <w:spacing w:before="20" w:after="20" w:line="240" w:lineRule="auto"/>
        <w:pBdr>
          <w:bottom w:val="single" w:sz="6" w:space="1" w:color="6D28D9"/>
        </w:pBdr>
      </w:pPr>
    </w:p>
    <w:p>
      <w:pPr>
        <w:keepNext w:val="0"/>
        <w:spacing w:before="40" w:after="40" w:line="240" w:lineRule="auto"/>
      </w:pPr>
      <w:r>
        <w:rPr>
          <w:rFonts w:ascii="Calibri" w:hAnsi="Calibri" w:cs="Calibri"/>
          <w:b w:val="0"/>
          <w:i w:val="0"/>
          <w:color w:val="44403C"/>
          <w:sz w:val="19"/>
        </w:rPr>
        <w:t>Product Manager with 5+ years in healthcare and regulated-industry products, the last 2+ owning the provider-facing portal where a network of 3,795 provider organizations submits referrals, treatment-extension requests, and invoices to a payer. Drives adoption by finding the friction in the workflow, then sequencing release slices for the fastest time to value: paper 56% to 19%, digital share 39% to 55%, support calls down 30%, clinician NPS +25, $580K funded. Led a 0-to-1 EMR integration so clinicians act inside their chart, with 50 EMR vendors engaged and FHIR as the documented upgrade path. Runs discovery with clinicians and admins, partners with Engineering, Design, Operations, and Communications, and leads by influence. Master of Business Analytics.</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EXPERIENCE</w:t>
      </w:r>
    </w:p>
    <w:p>
      <w:pPr>
        <w:keepNext/>
        <w:spacing w:before="60" w:after="0" w:line="240" w:lineRule="auto"/>
      </w:pPr>
      <w:r>
        <w:rPr>
          <w:rFonts w:ascii="Calibri" w:hAnsi="Calibri" w:cs="Calibri"/>
          <w:b/>
          <w:i w:val="0"/>
          <w:color w:val="1C1917"/>
          <w:sz w:val="21"/>
        </w:rPr>
        <w:t>Product Manager — Provider Experience, Clinical Workflows &amp; Integrations  |  WorkSafeBC</w:t>
      </w:r>
      <w:r>
        <w:rPr>
          <w:rFonts w:ascii="Calibri" w:hAnsi="Calibri" w:cs="Calibri"/>
          <w:b w:val="0"/>
          <w:i w:val="0"/>
          <w:color w:val="78716C"/>
          <w:sz w:val="18"/>
        </w:rPr>
        <w:t xml:space="preserve">    Apr 2024 – Present</w:t>
      </w:r>
    </w:p>
    <w:p>
      <w:pPr>
        <w:keepNext/>
        <w:spacing w:before="40" w:after="0" w:line="240" w:lineRule="auto"/>
      </w:pPr>
      <w:r>
        <w:rPr>
          <w:rFonts w:ascii="Calibri" w:hAnsi="Calibri" w:cs="Calibri"/>
          <w:b w:val="0"/>
          <w:i/>
          <w:color w:val="4F46E5"/>
          <w:sz w:val="18"/>
        </w:rPr>
        <w:t>Provider adoption and go-to-market  ·  find the friction, make digital the default</w:t>
      </w:r>
    </w:p>
    <w:p>
      <w:pPr>
        <w:pStyle w:val="ListBullet"/>
        <w:spacing w:before="0" w:after="0" w:line="240" w:lineRule="auto"/>
        <w:ind w:left="504" w:hanging="216"/>
      </w:pPr>
      <w:r>
        <w:rPr>
          <w:rFonts w:ascii="Calibri" w:hAnsi="Calibri" w:cs="Calibri"/>
          <w:b w:val="0"/>
          <w:i w:val="0"/>
          <w:color w:val="44403C"/>
          <w:sz w:val="19"/>
        </w:rPr>
        <w:t>Owned invoice submission for 3,795 provider organizations. Analyzed 3.7M line items: 25 organizations drove half of remaining paper. Rebuilt an 11-screen, 32-line-cap flow into 5 screens with no cap, unlocking ~280K blocked lines. Paper 56% to 19%, portal 39% to 55%, support calls down 30%, NPS +25, $580K funded.</w:t>
      </w:r>
    </w:p>
    <w:p>
      <w:pPr>
        <w:pStyle w:val="ListBullet"/>
        <w:spacing w:before="0" w:after="0" w:line="240" w:lineRule="auto"/>
        <w:ind w:left="504" w:hanging="216"/>
      </w:pPr>
      <w:r>
        <w:rPr>
          <w:rFonts w:ascii="Calibri" w:hAnsi="Calibri" w:cs="Calibri"/>
          <w:b w:val="0"/>
          <w:i w:val="0"/>
          <w:color w:val="44403C"/>
          <w:sz w:val="19"/>
        </w:rPr>
        <w:t>Defined release slices for time to value: named-cohort dark launch to 10 providers, then soft and hard launch, with the old flow live throughout to protect existing users. Wrote the PostHog spec before launch so activation and drop-off were visible within days.</w:t>
      </w:r>
    </w:p>
    <w:p>
      <w:pPr>
        <w:pStyle w:val="ListBullet"/>
        <w:spacing w:before="0" w:after="0" w:line="240" w:lineRule="auto"/>
        <w:ind w:left="504" w:hanging="216"/>
      </w:pPr>
      <w:r>
        <w:rPr>
          <w:rFonts w:ascii="Calibri" w:hAnsi="Calibri" w:cs="Calibri"/>
          <w:b w:val="0"/>
          <w:i w:val="0"/>
          <w:color w:val="44403C"/>
          <w:sz w:val="19"/>
        </w:rPr>
        <w:t>When first-month adoption was near zero despite better features, funnel data showed users missed a key control. Moved the next bet from new features to onboarding, discoverability, and segment-specific launch messaging with Healthcare Operations and Communications.</w:t>
      </w:r>
    </w:p>
    <w:p>
      <w:pPr>
        <w:pStyle w:val="ListBullet"/>
        <w:spacing w:before="0" w:after="0" w:line="240" w:lineRule="auto"/>
        <w:ind w:left="504" w:hanging="216"/>
      </w:pPr>
      <w:r>
        <w:rPr>
          <w:rFonts w:ascii="Calibri" w:hAnsi="Calibri" w:cs="Calibri"/>
          <w:b w:val="0"/>
          <w:i w:val="0"/>
          <w:color w:val="44403C"/>
          <w:sz w:val="19"/>
        </w:rPr>
        <w:t>Shipped in-product validation against fee schedules, rates, and service codes so errors surface at submit, not after rejection: invalid submissions down 40%.</w:t>
      </w:r>
    </w:p>
    <w:p>
      <w:pPr>
        <w:keepNext/>
        <w:spacing w:before="40" w:after="0" w:line="240" w:lineRule="auto"/>
      </w:pPr>
      <w:r>
        <w:rPr>
          <w:rFonts w:ascii="Calibri" w:hAnsi="Calibri" w:cs="Calibri"/>
          <w:b w:val="0"/>
          <w:i/>
          <w:color w:val="4F46E5"/>
          <w:sz w:val="18"/>
        </w:rPr>
        <w:t>Ordering and approval workflows  ·  clinician to payer</w:t>
      </w:r>
    </w:p>
    <w:p>
      <w:pPr>
        <w:pStyle w:val="ListBullet"/>
        <w:spacing w:before="0" w:after="0" w:line="240" w:lineRule="auto"/>
        <w:ind w:left="504" w:hanging="216"/>
      </w:pPr>
      <w:r>
        <w:rPr>
          <w:rFonts w:ascii="Calibri" w:hAnsi="Calibri" w:cs="Calibri"/>
          <w:b w:val="0"/>
          <w:i w:val="0"/>
          <w:color w:val="44403C"/>
          <w:sz w:val="19"/>
        </w:rPr>
        <w:t>Owned digital treatment-extension (continued-care approval) requests on an $80M program. Analyzed 139K requests: 79% approved, 27% same day. Rejected a push to auto-approve; shipped structured treatment rationale, request tracking, and error validation so providers see decisions without calling. $300K approved.</w:t>
      </w:r>
    </w:p>
    <w:p>
      <w:pPr>
        <w:pStyle w:val="ListBullet"/>
        <w:spacing w:before="0" w:after="0" w:line="240" w:lineRule="auto"/>
        <w:ind w:left="504" w:hanging="216"/>
      </w:pPr>
      <w:r>
        <w:rPr>
          <w:rFonts w:ascii="Calibri" w:hAnsi="Calibri" w:cs="Calibri"/>
          <w:b w:val="0"/>
          <w:i w:val="0"/>
          <w:color w:val="44403C"/>
          <w:sz w:val="19"/>
        </w:rPr>
        <w:t>Ran focus groups and provider feedback loops with physiotherapists and clinic admins. Caught that satisfaction surveys were answered by clinicians while admins use the tool, and corrected for it before prioritizing. Shipped provider-facing features early to get feedback ahead of the full launch.</w:t>
      </w:r>
    </w:p>
    <w:p>
      <w:pPr>
        <w:keepNext/>
        <w:spacing w:before="40" w:after="0" w:line="240" w:lineRule="auto"/>
      </w:pPr>
      <w:r>
        <w:rPr>
          <w:rFonts w:ascii="Calibri" w:hAnsi="Calibri" w:cs="Calibri"/>
          <w:b w:val="0"/>
          <w:i/>
          <w:color w:val="4F46E5"/>
          <w:sz w:val="18"/>
        </w:rPr>
        <w:t>EHR integration and partner ecosystem  ·  0-to-1</w:t>
      </w:r>
    </w:p>
    <w:p>
      <w:pPr>
        <w:pStyle w:val="ListBullet"/>
        <w:spacing w:before="0" w:after="0" w:line="240" w:lineRule="auto"/>
        <w:ind w:left="504" w:hanging="216"/>
      </w:pPr>
      <w:r>
        <w:rPr>
          <w:rFonts w:ascii="Calibri" w:hAnsi="Calibri" w:cs="Calibri"/>
          <w:b w:val="0"/>
          <w:i w:val="0"/>
          <w:color w:val="44403C"/>
          <w:sz w:val="19"/>
        </w:rPr>
        <w:t>Led OSCAR EMR submission from zero after 15 physician interviews showed clinicians would not leave their chart for a side portal. POC validated Mar 2025; $80K funded; roadmap covers ~70% of the provider ecosystem. Engaged 50 EMR vendors; QHR, Plexia, Medinet, and Intrahealth signaled willingness to integrate.</w:t>
      </w:r>
    </w:p>
    <w:p>
      <w:pPr>
        <w:pStyle w:val="ListBullet"/>
        <w:spacing w:before="0" w:after="0" w:line="240" w:lineRule="auto"/>
        <w:ind w:left="504" w:hanging="216"/>
      </w:pPr>
      <w:r>
        <w:rPr>
          <w:rFonts w:ascii="Calibri" w:hAnsi="Calibri" w:cs="Calibri"/>
          <w:b w:val="0"/>
          <w:i w:val="0"/>
          <w:color w:val="44403C"/>
          <w:sz w:val="19"/>
        </w:rPr>
        <w:t>Worked through architecture trade-offs with engineering: JSON for POC speed with HL7 FHIR as the upgrade path, Azure API Management as a reusable gateway instead of point-to-point builds, OAuth 2.0 and mTLS for the data channel.</w:t>
      </w:r>
    </w:p>
    <w:p>
      <w:pPr>
        <w:pStyle w:val="ListBullet"/>
        <w:spacing w:before="0" w:after="0" w:line="240" w:lineRule="auto"/>
        <w:ind w:left="504" w:hanging="216"/>
      </w:pPr>
      <w:r>
        <w:rPr>
          <w:rFonts w:ascii="Calibri" w:hAnsi="Calibri" w:cs="Calibri"/>
          <w:b w:val="0"/>
          <w:i w:val="0"/>
          <w:color w:val="44403C"/>
          <w:sz w:val="19"/>
        </w:rPr>
        <w:t>Build the artifacts that align engineering, architects, operations, and executives: a multi-year roadmap sequencing OSCAR to commercial EMRs, funding briefs ($80K, $300K, $580K), and sprint-ready specs with acceptance criteria across multiple dev pods in Azure DevOps.</w:t>
      </w:r>
    </w:p>
    <w:p>
      <w:pPr>
        <w:keepNext/>
        <w:spacing w:before="40" w:after="0" w:line="240" w:lineRule="auto"/>
      </w:pPr>
      <w:r>
        <w:rPr>
          <w:rFonts w:ascii="Calibri" w:hAnsi="Calibri" w:cs="Calibri"/>
          <w:b w:val="0"/>
          <w:i/>
          <w:color w:val="4F46E5"/>
          <w:sz w:val="18"/>
        </w:rPr>
        <w:t>Onboarding and change management at scale</w:t>
      </w:r>
    </w:p>
    <w:p>
      <w:pPr>
        <w:pStyle w:val="ListBullet"/>
        <w:spacing w:before="0" w:after="0" w:line="240" w:lineRule="auto"/>
        <w:ind w:left="504" w:hanging="216"/>
      </w:pPr>
      <w:r>
        <w:rPr>
          <w:rFonts w:ascii="Calibri" w:hAnsi="Calibri" w:cs="Calibri"/>
          <w:b w:val="0"/>
          <w:i w:val="0"/>
          <w:color w:val="44403C"/>
          <w:sz w:val="19"/>
        </w:rPr>
        <w:t>Migrated 5,600 healthcare professionals across 500 organizations to a new identity platform on a portal with 62K+ annual referrals: zero downtime, 100% of active accounts transitioned. Coordinated Engineering, Operations, Communications, and two vendors; planned around missing admin emails and a 1,500-admin outreach.</w:t>
      </w:r>
    </w:p>
    <w:p>
      <w:pPr>
        <w:keepNext/>
        <w:spacing w:before="40" w:after="0" w:line="240" w:lineRule="auto"/>
      </w:pPr>
      <w:r>
        <w:rPr>
          <w:rFonts w:ascii="Calibri" w:hAnsi="Calibri" w:cs="Calibri"/>
          <w:b w:val="0"/>
          <w:i/>
          <w:color w:val="4F46E5"/>
          <w:sz w:val="18"/>
        </w:rPr>
        <w:t>Prototyping with AI  ·  show customers something real before committing build capacity</w:t>
      </w:r>
    </w:p>
    <w:p>
      <w:pPr>
        <w:pStyle w:val="ListBullet"/>
        <w:spacing w:before="0" w:after="0" w:line="240" w:lineRule="auto"/>
        <w:ind w:left="504" w:hanging="216"/>
      </w:pPr>
      <w:r>
        <w:rPr>
          <w:rFonts w:ascii="Calibri" w:hAnsi="Calibri" w:cs="Calibri"/>
          <w:b w:val="0"/>
          <w:i w:val="0"/>
          <w:color w:val="44403C"/>
          <w:sz w:val="19"/>
        </w:rPr>
        <w:t>Led Referral Radar, a 0-to-1 LLM agent prototype that surfaces who qualifies for a program from 20-75 unstructured documents, with the human keeping the decision (2nd of 36, InnoFest 2025). Prototype daily with Cursor and Lovable so engineers and users react to a working flow before roadmap commitment.</w:t>
      </w:r>
    </w:p>
    <w:p>
      <w:pPr>
        <w:keepNext/>
        <w:spacing w:before="60" w:after="0" w:line="240" w:lineRule="auto"/>
      </w:pPr>
      <w:r>
        <w:rPr>
          <w:rFonts w:ascii="Calibri" w:hAnsi="Calibri" w:cs="Calibri"/>
          <w:b/>
          <w:i w:val="0"/>
          <w:color w:val="1C1917"/>
          <w:sz w:val="21"/>
        </w:rPr>
        <w:t>Product Manager (promoted from Business Analyst)  |  Technical Safety BC</w:t>
      </w:r>
      <w:r>
        <w:rPr>
          <w:rFonts w:ascii="Calibri" w:hAnsi="Calibri" w:cs="Calibri"/>
          <w:b w:val="0"/>
          <w:i w:val="0"/>
          <w:color w:val="78716C"/>
          <w:sz w:val="18"/>
        </w:rPr>
        <w:t xml:space="preserve">    Oct 2021 – Apr 2024</w:t>
      </w:r>
    </w:p>
    <w:p>
      <w:pPr>
        <w:pStyle w:val="ListBullet"/>
        <w:spacing w:before="0" w:after="0" w:line="240" w:lineRule="auto"/>
        <w:ind w:left="504" w:hanging="216"/>
      </w:pPr>
      <w:r>
        <w:rPr>
          <w:rFonts w:ascii="Calibri" w:hAnsi="Calibri" w:cs="Calibri"/>
          <w:b w:val="0"/>
          <w:i w:val="0"/>
          <w:color w:val="44403C"/>
          <w:sz w:val="19"/>
        </w:rPr>
        <w:t>Led discovery for a mobile inspections platform with field staff (interviews, workflow mapping, usability tests, prototypes) and used the evidence to decide whether to fund the build.</w:t>
      </w:r>
    </w:p>
    <w:p>
      <w:pPr>
        <w:pStyle w:val="ListBullet"/>
        <w:spacing w:before="0" w:after="0" w:line="240" w:lineRule="auto"/>
        <w:ind w:left="504" w:hanging="216"/>
      </w:pPr>
      <w:r>
        <w:rPr>
          <w:rFonts w:ascii="Calibri" w:hAnsi="Calibri" w:cs="Calibri"/>
          <w:b w:val="0"/>
          <w:i w:val="0"/>
          <w:color w:val="44403C"/>
          <w:sz w:val="19"/>
        </w:rPr>
        <w:t>Shipped NLP email classification into a live routing workflow, removing manual inbox triage. Built churn and engagement analytics: 11.7% annual churn; RFM campaigns retained 78% of high-risk customers.</w:t>
      </w:r>
    </w:p>
    <w:p>
      <w:pPr>
        <w:keepNext w:val="0"/>
        <w:spacing w:before="60" w:after="20" w:line="240" w:lineRule="auto"/>
      </w:pPr>
      <w:r>
        <w:rPr>
          <w:rFonts w:ascii="Calibri" w:hAnsi="Calibri" w:cs="Calibri"/>
          <w:b w:val="0"/>
          <w:i w:val="0"/>
          <w:color w:val="78716C"/>
          <w:sz w:val="18"/>
        </w:rPr>
        <w:t>Earlier: Strategy Consultant, 180 Degrees Consulting (acquisition strategy, bounce rate down 37%, subscriptions doubled)  •  SEO Consultant, Convertus (75+ client sites, organic performance up ~150%)</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EDUCATION</w:t>
      </w:r>
    </w:p>
    <w:p>
      <w:pPr>
        <w:keepNext/>
        <w:spacing w:before="60" w:after="0" w:line="240" w:lineRule="auto"/>
      </w:pPr>
      <w:r>
        <w:rPr>
          <w:rFonts w:ascii="Calibri" w:hAnsi="Calibri" w:cs="Calibri"/>
          <w:b/>
          <w:i w:val="0"/>
          <w:color w:val="1C1917"/>
          <w:sz w:val="21"/>
        </w:rPr>
        <w:t>Master of Business Analytics  |  University of British Columbia</w:t>
      </w:r>
      <w:r>
        <w:rPr>
          <w:rFonts w:ascii="Calibri" w:hAnsi="Calibri" w:cs="Calibri"/>
          <w:b w:val="0"/>
          <w:i w:val="0"/>
          <w:color w:val="78716C"/>
          <w:sz w:val="18"/>
        </w:rPr>
        <w:t xml:space="preserve">    </w:t>
      </w:r>
    </w:p>
    <w:p>
      <w:pPr>
        <w:keepNext/>
        <w:spacing w:before="0" w:after="20" w:line="240" w:lineRule="auto"/>
      </w:pPr>
      <w:r>
        <w:rPr>
          <w:rFonts w:ascii="Calibri" w:hAnsi="Calibri" w:cs="Calibri"/>
          <w:b w:val="0"/>
          <w:i w:val="0"/>
          <w:color w:val="78716C"/>
          <w:sz w:val="18"/>
        </w:rPr>
        <w:t>Python  •  SQL  •  Machine Learning  •  Optimization  •  Product Analytics</w:t>
      </w:r>
    </w:p>
    <w:p>
      <w:pPr>
        <w:keepNext w:val="0"/>
        <w:spacing w:before="60" w:after="0" w:line="240" w:lineRule="auto"/>
      </w:pPr>
      <w:r>
        <w:rPr>
          <w:rFonts w:ascii="Calibri" w:hAnsi="Calibri" w:cs="Calibri"/>
          <w:b/>
          <w:i w:val="0"/>
          <w:color w:val="1C1917"/>
          <w:sz w:val="21"/>
        </w:rPr>
        <w:t>Bachelor of Business Administration (Marketing)  |  British Columbia Institute of Technology</w:t>
      </w:r>
      <w:r>
        <w:rPr>
          <w:rFonts w:ascii="Calibri" w:hAnsi="Calibri" w:cs="Calibri"/>
          <w:b w:val="0"/>
          <w:i w:val="0"/>
          <w:color w:val="78716C"/>
          <w:sz w:val="18"/>
        </w:rPr>
        <w:t xml:space="preserve">    </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LEADERSHIP</w:t>
      </w:r>
    </w:p>
    <w:p>
      <w:pPr>
        <w:keepNext w:val="0"/>
        <w:spacing w:before="20" w:after="20" w:line="240" w:lineRule="auto"/>
      </w:pPr>
      <w:r>
        <w:rPr>
          <w:rFonts w:ascii="Calibri" w:hAnsi="Calibri" w:cs="Calibri"/>
          <w:b w:val="0"/>
          <w:i w:val="0"/>
          <w:color w:val="44403C"/>
          <w:sz w:val="19"/>
        </w:rPr>
        <w:t>Speaker, ProductCamp BC (2025) — “How Legacy Industries Can Adopt a Product Mindset to Improve Service Delivery.”  Mentor, ProductBC — discovery, roadmap judgment, and stakeholder communication.</w:t>
      </w:r>
    </w:p>
    <w:p>
      <w:pPr>
        <w:keepNext w:val="0"/>
        <w:spacing w:before="20" w:after="20" w:line="240" w:lineRule="auto"/>
        <w:pBdr>
          <w:bottom w:val="single" w:sz="6" w:space="1" w:color="6D28D9"/>
        </w:pBdr>
      </w:pPr>
    </w:p>
    <w:p>
      <w:pPr>
        <w:keepNext/>
        <w:spacing w:before="80" w:after="20" w:line="240" w:lineRule="auto"/>
      </w:pPr>
      <w:r>
        <w:rPr>
          <w:rFonts w:ascii="Calibri" w:hAnsi="Calibri" w:cs="Calibri"/>
          <w:b/>
          <w:i w:val="0"/>
          <w:color w:val="6D28D9"/>
          <w:sz w:val="21"/>
        </w:rPr>
        <w:t>SKILLS</w:t>
      </w:r>
    </w:p>
    <w:p>
      <w:pPr>
        <w:spacing w:before="20" w:after="0" w:line="240" w:lineRule="auto"/>
      </w:pPr>
      <w:r>
        <w:rPr>
          <w:rFonts w:ascii="Calibri" w:hAnsi="Calibri" w:cs="Calibri"/>
          <w:b/>
          <w:i w:val="0"/>
          <w:color w:val="5B21B6"/>
          <w:sz w:val="18"/>
        </w:rPr>
        <w:t xml:space="preserve">Product:  </w:t>
      </w:r>
      <w:r>
        <w:rPr>
          <w:rFonts w:ascii="Calibri" w:hAnsi="Calibri" w:cs="Calibri"/>
          <w:b w:val="0"/>
          <w:i w:val="0"/>
          <w:color w:val="44403C"/>
          <w:sz w:val="18"/>
        </w:rPr>
        <w:t>Strategy &amp; roadmaps  •  Release slicing &amp; time to value  •  Customer discovery &amp; feedback loops  •  Success metrics  •  Product briefs &amp; specs  •  Trade-off decisions</w:t>
      </w:r>
    </w:p>
    <w:p>
      <w:pPr>
        <w:spacing w:before="20" w:after="0" w:line="240" w:lineRule="auto"/>
      </w:pPr>
      <w:r>
        <w:rPr>
          <w:rFonts w:ascii="Calibri" w:hAnsi="Calibri" w:cs="Calibri"/>
          <w:b/>
          <w:i w:val="0"/>
          <w:color w:val="5B21B6"/>
          <w:sz w:val="18"/>
        </w:rPr>
        <w:t xml:space="preserve">Adoption &amp; GTM:  </w:t>
      </w:r>
      <w:r>
        <w:rPr>
          <w:rFonts w:ascii="Calibri" w:hAnsi="Calibri" w:cs="Calibri"/>
          <w:b w:val="0"/>
          <w:i w:val="0"/>
          <w:color w:val="44403C"/>
          <w:sz w:val="18"/>
        </w:rPr>
        <w:t>Segmentation  •  Phased launches  •  Onboarding &amp; change management  •  Partnering with Operations, Support &amp; Communications</w:t>
      </w:r>
    </w:p>
    <w:p>
      <w:pPr>
        <w:spacing w:before="20" w:after="0" w:line="240" w:lineRule="auto"/>
      </w:pPr>
      <w:r>
        <w:rPr>
          <w:rFonts w:ascii="Calibri" w:hAnsi="Calibri" w:cs="Calibri"/>
          <w:b/>
          <w:i w:val="0"/>
          <w:color w:val="5B21B6"/>
          <w:sz w:val="18"/>
        </w:rPr>
        <w:t xml:space="preserve">Healthcare:  </w:t>
      </w:r>
      <w:r>
        <w:rPr>
          <w:rFonts w:ascii="Calibri" w:hAnsi="Calibri" w:cs="Calibri"/>
          <w:b w:val="0"/>
          <w:i w:val="0"/>
          <w:color w:val="44403C"/>
          <w:sz w:val="18"/>
        </w:rPr>
        <w:t>EMR/EHR integrations  •  HL7 FHIR (design)  •  Referral, authorization &amp; claims workflows  •  Provider billing rules  •  Regulated healthcare operations</w:t>
      </w:r>
    </w:p>
    <w:p>
      <w:pPr>
        <w:spacing w:before="20" w:after="0" w:line="240" w:lineRule="auto"/>
      </w:pPr>
      <w:r>
        <w:rPr>
          <w:rFonts w:ascii="Calibri" w:hAnsi="Calibri" w:cs="Calibri"/>
          <w:b/>
          <w:i w:val="0"/>
          <w:color w:val="5B21B6"/>
          <w:sz w:val="18"/>
        </w:rPr>
        <w:t xml:space="preserve">Technical:  </w:t>
      </w:r>
      <w:r>
        <w:rPr>
          <w:rFonts w:ascii="Calibri" w:hAnsi="Calibri" w:cs="Calibri"/>
          <w:b w:val="0"/>
          <w:i w:val="0"/>
          <w:color w:val="44403C"/>
          <w:sz w:val="18"/>
        </w:rPr>
        <w:t>SQL  •  Python  •  REST APIs  •  Azure API Management  •  OAuth 2.0  •  PostHog  •  Cursor  •  Lovable  •  Figma  •  Jira  •  Azure DevOps</w:t>
      </w:r>
    </w:p>
    <w:sectPr w:rsidR="00FC693F" w:rsidRPr="0006063C" w:rsidSect="00034616">
      <w:pgSz w:w="12240" w:h="15840"/>
      <w:pgMar w:top="709" w:right="964" w:bottom="65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