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9F6"/>
  <w:body>
    <w:p>
      <w:pPr>
        <w:spacing w:before="0" w:after="0" w:line="240" w:lineRule="auto"/>
        <w:jc w:val="center"/>
      </w:pPr>
      <w:r>
        <w:rPr>
          <w:rFonts w:ascii="Calibri" w:hAnsi="Calibri" w:cs="Calibri"/>
          <w:b/>
          <w:i w:val="0"/>
          <w:color w:val="1C1917"/>
          <w:sz w:val="36"/>
        </w:rPr>
        <w:t>KHUSHBOO DODANI</w:t>
      </w:r>
    </w:p>
    <w:p>
      <w:pPr>
        <w:spacing w:before="20" w:after="0" w:line="240" w:lineRule="auto"/>
        <w:jc w:val="center"/>
      </w:pPr>
      <w:r>
        <w:rPr>
          <w:rFonts w:ascii="Calibri" w:hAnsi="Calibri" w:cs="Calibri"/>
          <w:b w:val="0"/>
          <w:i w:val="0"/>
          <w:color w:val="78716C"/>
          <w:sz w:val="18"/>
        </w:rPr>
        <w:t xml:space="preserve">San Francisco Bay Area  |  US work authorization  |  khushdodani@gmail.com  |  </w:t>
      </w:r>
      <w:hyperlink r:id="rId9">
        <w:r>
          <w:rPr>
            <w:rFonts w:ascii="Calibri" w:hAnsi="Calibri" w:cs="Calibri"/>
            <w:color w:val="78716C"/>
            <w:sz w:val="18"/>
            <w:szCs w:val="18"/>
            <w:u w:val="single"/>
          </w:rPr>
          <w:t xml:space="preserve">LinkedIn</w:t>
        </w:r>
      </w:hyperlink>
      <w:r>
        <w:rPr>
          <w:rFonts w:ascii="Calibri" w:hAnsi="Calibri" w:cs="Calibri"/>
          <w:b w:val="0"/>
          <w:i w:val="0"/>
          <w:color w:val="78716C"/>
          <w:sz w:val="18"/>
        </w:rPr>
        <w:t xml:space="preserve">  |  </w:t>
      </w:r>
      <w:hyperlink r:id="rId10">
        <w:r>
          <w:rPr>
            <w:rFonts w:ascii="Calibri" w:hAnsi="Calibri" w:cs="Calibri"/>
            <w:color w:val="78716C"/>
            <w:sz w:val="18"/>
            <w:szCs w:val="18"/>
            <w:u w:val="single"/>
          </w:rPr>
          <w:t xml:space="preserve">Portfolio</w:t>
        </w:r>
      </w:hyperlink>
    </w:p>
    <w:p>
      <w:pPr>
        <w:spacing w:before="20" w:after="0" w:line="240" w:lineRule="auto"/>
        <w:jc w:val="center"/>
      </w:pPr>
      <w:r>
        <w:rPr>
          <w:rFonts w:ascii="Calibri" w:hAnsi="Calibri" w:cs="Calibri"/>
          <w:b/>
          <w:i w:val="0"/>
          <w:color w:val="6D28D9"/>
          <w:sz w:val="24"/>
        </w:rPr>
        <w:t>PRODUCT MANAGER</w:t>
      </w:r>
    </w:p>
    <w:p>
      <w:pPr>
        <w:spacing w:before="0" w:after="20" w:line="240" w:lineRule="auto"/>
        <w:jc w:val="center"/>
      </w:pPr>
      <w:r>
        <w:rPr>
          <w:rFonts w:ascii="Calibri" w:hAnsi="Calibri" w:cs="Calibri"/>
          <w:b w:val="0"/>
          <w:i w:val="0"/>
          <w:color w:val="5B21B6"/>
          <w:sz w:val="18"/>
        </w:rPr>
        <w:t>Authorization &amp; Medical Necessity Workflows  •  Claims Accuracy  •  AI With Human-in-the-Loop  •  Customer Requirements</w:t>
      </w:r>
    </w:p>
    <w:p>
      <w:pPr>
        <w:keepNext w:val="0"/>
        <w:spacing w:before="20" w:after="20" w:line="240" w:lineRule="auto"/>
        <w:pBdr>
          <w:bottom w:val="single" w:sz="6" w:space="1" w:color="6D28D9"/>
        </w:pBdr>
      </w:pPr>
    </w:p>
    <w:p>
      <w:pPr>
        <w:keepNext w:val="0"/>
        <w:spacing w:before="40" w:after="40" w:line="240" w:lineRule="auto"/>
      </w:pPr>
      <w:r>
        <w:rPr>
          <w:rFonts w:ascii="Calibri" w:hAnsi="Calibri" w:cs="Calibri"/>
          <w:b w:val="0"/>
          <w:i w:val="0"/>
          <w:color w:val="44403C"/>
          <w:sz w:val="19"/>
        </w:rPr>
        <w:t>Product Manager with 5+ years in regulated claims and treatment-authorization workflows. Owns requirements directly with external providers, turns them into acceptance criteria and sprint-ready backlogs with engineering and design (Jira, Azure DevOps), and measures by outcomes: invalid submissions down 40%, paper 56% to 19%. Has shipped NLP routing into a live operational workflow and led a 0-to-1 LLM concept with explicit human-review points and evidence traces. Curious about how care is authorized, denied, and appealed, and fast to learn a new clinical domain.</w:t>
      </w:r>
    </w:p>
    <w:p>
      <w:pPr>
        <w:keepNext w:val="0"/>
        <w:spacing w:before="20" w:after="20" w:line="240" w:lineRule="auto"/>
        <w:pBdr>
          <w:bottom w:val="single" w:sz="6" w:space="1" w:color="6D28D9"/>
        </w:pBdr>
      </w:pPr>
    </w:p>
    <w:p>
      <w:pPr>
        <w:keepNext/>
        <w:spacing w:before="80" w:after="20" w:line="240" w:lineRule="auto"/>
      </w:pPr>
      <w:r>
        <w:rPr>
          <w:rFonts w:ascii="Calibri" w:hAnsi="Calibri" w:cs="Calibri"/>
          <w:b/>
          <w:i w:val="0"/>
          <w:color w:val="6D28D9"/>
          <w:sz w:val="21"/>
        </w:rPr>
        <w:t>EXPERIENCE</w:t>
      </w:r>
    </w:p>
    <w:p>
      <w:pPr>
        <w:keepNext/>
        <w:spacing w:before="60" w:after="0" w:line="240" w:lineRule="auto"/>
      </w:pPr>
      <w:r>
        <w:rPr>
          <w:rFonts w:ascii="Calibri" w:hAnsi="Calibri" w:cs="Calibri"/>
          <w:b/>
          <w:i w:val="0"/>
          <w:color w:val="1C1917"/>
          <w:sz w:val="21"/>
        </w:rPr>
        <w:t>Product Manager — Provider Intake, Authorization &amp; Claims  |  WorkSafeBC</w:t>
      </w:r>
      <w:r>
        <w:rPr>
          <w:rFonts w:ascii="Calibri" w:hAnsi="Calibri" w:cs="Calibri"/>
          <w:b w:val="0"/>
          <w:i w:val="0"/>
          <w:color w:val="78716C"/>
          <w:sz w:val="18"/>
        </w:rPr>
        <w:t xml:space="preserve">    Apr 2024 – Present</w:t>
      </w:r>
    </w:p>
    <w:p>
      <w:pPr>
        <w:keepNext/>
        <w:spacing w:before="40" w:after="0" w:line="240" w:lineRule="auto"/>
      </w:pPr>
      <w:r>
        <w:rPr>
          <w:rFonts w:ascii="Calibri" w:hAnsi="Calibri" w:cs="Calibri"/>
          <w:b w:val="0"/>
          <w:i/>
          <w:color w:val="4F46E5"/>
          <w:sz w:val="18"/>
        </w:rPr>
        <w:t>Authorization and review workflows  ·  human judgment on $80M of spend</w:t>
      </w:r>
    </w:p>
    <w:p>
      <w:pPr>
        <w:pStyle w:val="ListBullet"/>
        <w:spacing w:before="0" w:after="0" w:line="240" w:lineRule="auto"/>
        <w:ind w:left="504" w:hanging="216"/>
      </w:pPr>
      <w:r>
        <w:rPr>
          <w:rFonts w:ascii="Calibri" w:hAnsi="Calibri" w:cs="Calibri"/>
          <w:b w:val="0"/>
          <w:i w:val="0"/>
          <w:color w:val="44403C"/>
          <w:sz w:val="19"/>
        </w:rPr>
        <w:t>Owned digital treatment-extension requests (authorization to continue physiotherapy) on an $80M program. Analyzed 139K historical requests: 79% were approved and 27% the same day, which suggested reviewers were skimming.</w:t>
      </w:r>
    </w:p>
    <w:p>
      <w:pPr>
        <w:pStyle w:val="ListBullet"/>
        <w:spacing w:before="0" w:after="0" w:line="240" w:lineRule="auto"/>
        <w:ind w:left="504" w:hanging="216"/>
      </w:pPr>
      <w:r>
        <w:rPr>
          <w:rFonts w:ascii="Calibri" w:hAnsi="Calibri" w:cs="Calibri"/>
          <w:b w:val="0"/>
          <w:i w:val="0"/>
          <w:color w:val="44403C"/>
          <w:sz w:val="19"/>
        </w:rPr>
        <w:t>Pushed back on senior stakeholders who wanted auto-approve. Defined the decision for the reviewer instead: structured treatment rationale at intake so case managers keep approve, deny, or revise, with separate physio and hydro decisions.</w:t>
      </w:r>
    </w:p>
    <w:p>
      <w:pPr>
        <w:pStyle w:val="ListBullet"/>
        <w:spacing w:before="0" w:after="0" w:line="240" w:lineRule="auto"/>
        <w:ind w:left="504" w:hanging="216"/>
      </w:pPr>
      <w:r>
        <w:rPr>
          <w:rFonts w:ascii="Calibri" w:hAnsi="Calibri" w:cs="Calibri"/>
          <w:b w:val="0"/>
          <w:i w:val="0"/>
          <w:color w:val="44403C"/>
          <w:sz w:val="19"/>
        </w:rPr>
        <w:t>Specified decision-rationale display, request tracking, and error validation with the claims, CMS, and architecture teams so clinics see outcomes without calling. Prioritized this over new request types; $300K approved.</w:t>
      </w:r>
    </w:p>
    <w:p>
      <w:pPr>
        <w:pStyle w:val="ListBullet"/>
        <w:spacing w:before="0" w:after="0" w:line="240" w:lineRule="auto"/>
        <w:ind w:left="504" w:hanging="216"/>
      </w:pPr>
      <w:r>
        <w:rPr>
          <w:rFonts w:ascii="Calibri" w:hAnsi="Calibri" w:cs="Calibri"/>
          <w:b w:val="0"/>
          <w:i w:val="0"/>
          <w:color w:val="44403C"/>
          <w:sz w:val="19"/>
        </w:rPr>
        <w:t>Cut scope on evidence, not opinion: dropped a body-map field providers said added no clinical value, and deprioritized a stuck-request alert after aging data showed most requests resolve within 3 days.</w:t>
      </w:r>
    </w:p>
    <w:p>
      <w:pPr>
        <w:keepNext/>
        <w:spacing w:before="40" w:after="0" w:line="240" w:lineRule="auto"/>
      </w:pPr>
      <w:r>
        <w:rPr>
          <w:rFonts w:ascii="Calibri" w:hAnsi="Calibri" w:cs="Calibri"/>
          <w:b w:val="0"/>
          <w:i/>
          <w:color w:val="4F46E5"/>
          <w:sz w:val="18"/>
        </w:rPr>
        <w:t>Claims accuracy, customer discovery, and rollout</w:t>
      </w:r>
    </w:p>
    <w:p>
      <w:pPr>
        <w:pStyle w:val="ListBullet"/>
        <w:spacing w:before="0" w:after="0" w:line="240" w:lineRule="auto"/>
        <w:ind w:left="504" w:hanging="216"/>
      </w:pPr>
      <w:r>
        <w:rPr>
          <w:rFonts w:ascii="Calibri" w:hAnsi="Calibri" w:cs="Calibri"/>
          <w:b w:val="0"/>
          <w:i w:val="0"/>
          <w:color w:val="44403C"/>
          <w:sz w:val="19"/>
        </w:rPr>
        <w:t>Led direct interviews and feedback sessions with physiotherapists, clinic admins, and EMR vendors to write requirements and acceptance criteria. Ran the backlog and sprints with multiple dev pods in Azure DevOps.</w:t>
      </w:r>
    </w:p>
    <w:p>
      <w:pPr>
        <w:pStyle w:val="ListBullet"/>
        <w:spacing w:before="0" w:after="0" w:line="240" w:lineRule="auto"/>
        <w:ind w:left="504" w:hanging="216"/>
      </w:pPr>
      <w:r>
        <w:rPr>
          <w:rFonts w:ascii="Calibri" w:hAnsi="Calibri" w:cs="Calibri"/>
          <w:b w:val="0"/>
          <w:i w:val="0"/>
          <w:color w:val="44403C"/>
          <w:sz w:val="19"/>
        </w:rPr>
        <w:t>Shipped in-product validation against fee schedules, rates, and service codes so invalid services, claims, and line items fail at submit. Invalid submissions fell 40% (the same discipline that prevents downstream denials).</w:t>
      </w:r>
    </w:p>
    <w:p>
      <w:pPr>
        <w:pStyle w:val="ListBullet"/>
        <w:spacing w:before="0" w:after="0" w:line="240" w:lineRule="auto"/>
        <w:ind w:left="504" w:hanging="216"/>
      </w:pPr>
      <w:r>
        <w:rPr>
          <w:rFonts w:ascii="Calibri" w:hAnsi="Calibri" w:cs="Calibri"/>
          <w:b w:val="0"/>
          <w:i w:val="0"/>
          <w:color w:val="44403C"/>
          <w:sz w:val="19"/>
        </w:rPr>
        <w:t>Analyzed 3.7M invoice line items; 25 of 3,795 organizations drove half of remaining paper. Rebuilt an 11-screen, 32-line flow into 5 screens with no line cap. Paper 56% to 19%, portal 39% to 55%, $580K funded.</w:t>
      </w:r>
    </w:p>
    <w:p>
      <w:pPr>
        <w:pStyle w:val="ListBullet"/>
        <w:spacing w:before="0" w:after="0" w:line="240" w:lineRule="auto"/>
        <w:ind w:left="504" w:hanging="216"/>
      </w:pPr>
      <w:r>
        <w:rPr>
          <w:rFonts w:ascii="Calibri" w:hAnsi="Calibri" w:cs="Calibri"/>
          <w:b w:val="0"/>
          <w:i w:val="0"/>
          <w:color w:val="44403C"/>
          <w:sz w:val="19"/>
        </w:rPr>
        <w:t>Ran dark, soft, and hard launches with Healthcare Operations, instrumented in PostHog (submit, error, drop-off), so a high-volume segment activated without disrupting existing throughput.</w:t>
      </w:r>
    </w:p>
    <w:p>
      <w:pPr>
        <w:keepNext/>
        <w:spacing w:before="40" w:after="0" w:line="240" w:lineRule="auto"/>
      </w:pPr>
      <w:r>
        <w:rPr>
          <w:rFonts w:ascii="Calibri" w:hAnsi="Calibri" w:cs="Calibri"/>
          <w:b w:val="0"/>
          <w:i/>
          <w:color w:val="4F46E5"/>
          <w:sz w:val="18"/>
        </w:rPr>
        <w:t>AI and zero-to-one</w:t>
      </w:r>
    </w:p>
    <w:p>
      <w:pPr>
        <w:pStyle w:val="ListBullet"/>
        <w:spacing w:before="0" w:after="0" w:line="240" w:lineRule="auto"/>
        <w:ind w:left="504" w:hanging="216"/>
      </w:pPr>
      <w:r>
        <w:rPr>
          <w:rFonts w:ascii="Calibri" w:hAnsi="Calibri" w:cs="Calibri"/>
          <w:b w:val="0"/>
          <w:i w:val="0"/>
          <w:color w:val="44403C"/>
          <w:sz w:val="19"/>
        </w:rPr>
        <w:t>Led Referral Radar (0-to-1 LLM prototype): retrieval over 20-75 claim documents per case, recommendations with evidence traces, and a defined human/AI boundary. The case manager keeps the decision; the AI never auto-routes. 2nd of 36 at InnoFest 2025; a production plan is in place.</w:t>
      </w:r>
    </w:p>
    <w:p>
      <w:pPr>
        <w:pStyle w:val="ListBullet"/>
        <w:spacing w:before="0" w:after="0" w:line="240" w:lineRule="auto"/>
        <w:ind w:left="504" w:hanging="216"/>
      </w:pPr>
      <w:r>
        <w:rPr>
          <w:rFonts w:ascii="Calibri" w:hAnsi="Calibri" w:cs="Calibri"/>
          <w:b w:val="0"/>
          <w:i w:val="0"/>
          <w:color w:val="44403C"/>
          <w:sz w:val="19"/>
        </w:rPr>
        <w:t>When production claim data was blocked, built a synthetic-data path validated by an experienced case manager, so the data science work continued. Chose explainability over raw accuracy because trust was the constraint.</w:t>
      </w:r>
    </w:p>
    <w:p>
      <w:pPr>
        <w:pStyle w:val="ListBullet"/>
        <w:spacing w:before="0" w:after="0" w:line="240" w:lineRule="auto"/>
        <w:ind w:left="504" w:hanging="216"/>
      </w:pPr>
      <w:r>
        <w:rPr>
          <w:rFonts w:ascii="Calibri" w:hAnsi="Calibri" w:cs="Calibri"/>
          <w:b w:val="0"/>
          <w:i w:val="0"/>
          <w:color w:val="44403C"/>
          <w:sz w:val="19"/>
        </w:rPr>
        <w:t>Led OSCAR EMR submission from zero so physicians submit in the chart instead of a side portal. $80K funded; roadmap covers ~70% of providers; aligned 50 EMR vendors, TELUS, and government.</w:t>
      </w:r>
    </w:p>
    <w:p>
      <w:pPr>
        <w:keepNext/>
        <w:spacing w:before="60" w:after="0" w:line="240" w:lineRule="auto"/>
      </w:pPr>
      <w:r>
        <w:rPr>
          <w:rFonts w:ascii="Calibri" w:hAnsi="Calibri" w:cs="Calibri"/>
          <w:b/>
          <w:i w:val="0"/>
          <w:color w:val="1C1917"/>
          <w:sz w:val="21"/>
        </w:rPr>
        <w:t>Product Manager  |  Technical Safety BC</w:t>
      </w:r>
      <w:r>
        <w:rPr>
          <w:rFonts w:ascii="Calibri" w:hAnsi="Calibri" w:cs="Calibri"/>
          <w:b w:val="0"/>
          <w:i w:val="0"/>
          <w:color w:val="78716C"/>
          <w:sz w:val="18"/>
        </w:rPr>
        <w:t xml:space="preserve">    Oct 2021 – Apr 2024</w:t>
      </w:r>
    </w:p>
    <w:p>
      <w:pPr>
        <w:pStyle w:val="ListBullet"/>
        <w:spacing w:before="0" w:after="0" w:line="240" w:lineRule="auto"/>
        <w:ind w:left="504" w:hanging="216"/>
      </w:pPr>
      <w:r>
        <w:rPr>
          <w:rFonts w:ascii="Calibri" w:hAnsi="Calibri" w:cs="Calibri"/>
          <w:b w:val="0"/>
          <w:i w:val="0"/>
          <w:color w:val="44403C"/>
          <w:sz w:val="19"/>
        </w:rPr>
        <w:t>Owned the backlog, sprints, and acceptance criteria in Jira. Defined requirements for NLP classification that automatically routes inbound requests in a live workflow, removing manual inbox triage.</w:t>
      </w:r>
    </w:p>
    <w:p>
      <w:pPr>
        <w:pStyle w:val="ListBullet"/>
        <w:spacing w:before="0" w:after="0" w:line="240" w:lineRule="auto"/>
        <w:ind w:left="504" w:hanging="216"/>
      </w:pPr>
      <w:r>
        <w:rPr>
          <w:rFonts w:ascii="Calibri" w:hAnsi="Calibri" w:cs="Calibri"/>
          <w:b w:val="0"/>
          <w:i w:val="0"/>
          <w:color w:val="44403C"/>
          <w:sz w:val="19"/>
        </w:rPr>
        <w:t>Led discovery for a mobile inspections platform with field staff (interviews, workflow mapping, usability tests) and used the evidence to decide whether to fund the build.</w:t>
      </w:r>
    </w:p>
    <w:p>
      <w:pPr>
        <w:pStyle w:val="ListBullet"/>
        <w:spacing w:before="0" w:after="0" w:line="240" w:lineRule="auto"/>
        <w:ind w:left="504" w:hanging="216"/>
      </w:pPr>
      <w:r>
        <w:rPr>
          <w:rFonts w:ascii="Calibri" w:hAnsi="Calibri" w:cs="Calibri"/>
          <w:b w:val="0"/>
          <w:i w:val="0"/>
          <w:color w:val="44403C"/>
          <w:sz w:val="19"/>
        </w:rPr>
        <w:t>Built the retention metrics leadership prioritized against: 11.7% average annual churn and an RFM model whose campaigns retained 78% of high-risk customers.</w:t>
      </w:r>
    </w:p>
    <w:p>
      <w:pPr>
        <w:keepNext w:val="0"/>
        <w:spacing w:before="60" w:after="20" w:line="240" w:lineRule="auto"/>
      </w:pPr>
      <w:r>
        <w:rPr>
          <w:rFonts w:ascii="Calibri" w:hAnsi="Calibri" w:cs="Calibri"/>
          <w:b w:val="0"/>
          <w:i w:val="0"/>
          <w:color w:val="78716C"/>
          <w:sz w:val="18"/>
        </w:rPr>
        <w:t>Earlier: Strategy Consultant, 180 Degrees Consulting (nonprofit acquisition strategy, bounce rate down 37%, subscriptions doubled)  •  SEO Consultant, Convertus (75+ client sites, organic performance up ~150%)</w:t>
      </w:r>
    </w:p>
    <w:p>
      <w:pPr>
        <w:keepNext w:val="0"/>
        <w:spacing w:before="20" w:after="20" w:line="240" w:lineRule="auto"/>
        <w:pBdr>
          <w:bottom w:val="single" w:sz="6" w:space="1" w:color="6D28D9"/>
        </w:pBdr>
      </w:pPr>
    </w:p>
    <w:p>
      <w:pPr>
        <w:keepNext/>
        <w:spacing w:before="80" w:after="20" w:line="240" w:lineRule="auto"/>
      </w:pPr>
      <w:r>
        <w:rPr>
          <w:rFonts w:ascii="Calibri" w:hAnsi="Calibri" w:cs="Calibri"/>
          <w:b/>
          <w:i w:val="0"/>
          <w:color w:val="6D28D9"/>
          <w:sz w:val="21"/>
        </w:rPr>
        <w:t>EDUCATION</w:t>
      </w:r>
    </w:p>
    <w:p>
      <w:pPr>
        <w:keepNext/>
        <w:spacing w:before="60" w:after="0" w:line="240" w:lineRule="auto"/>
      </w:pPr>
      <w:r>
        <w:rPr>
          <w:rFonts w:ascii="Calibri" w:hAnsi="Calibri" w:cs="Calibri"/>
          <w:b/>
          <w:i w:val="0"/>
          <w:color w:val="1C1917"/>
          <w:sz w:val="21"/>
        </w:rPr>
        <w:t>Master of Business Analytics  |  University of British Columbia</w:t>
      </w:r>
      <w:r>
        <w:rPr>
          <w:rFonts w:ascii="Calibri" w:hAnsi="Calibri" w:cs="Calibri"/>
          <w:b w:val="0"/>
          <w:i w:val="0"/>
          <w:color w:val="78716C"/>
          <w:sz w:val="18"/>
        </w:rPr>
        <w:t xml:space="preserve">    </w:t>
      </w:r>
    </w:p>
    <w:p>
      <w:pPr>
        <w:keepNext/>
        <w:spacing w:before="0" w:after="20" w:line="240" w:lineRule="auto"/>
      </w:pPr>
      <w:r>
        <w:rPr>
          <w:rFonts w:ascii="Calibri" w:hAnsi="Calibri" w:cs="Calibri"/>
          <w:b w:val="0"/>
          <w:i w:val="0"/>
          <w:color w:val="78716C"/>
          <w:sz w:val="18"/>
        </w:rPr>
        <w:t>Python  •  SQL  •  Machine Learning  •  Optimization  •  Product Analytics</w:t>
      </w:r>
    </w:p>
    <w:p>
      <w:pPr>
        <w:keepNext w:val="0"/>
        <w:spacing w:before="60" w:after="0" w:line="240" w:lineRule="auto"/>
      </w:pPr>
      <w:r>
        <w:rPr>
          <w:rFonts w:ascii="Calibri" w:hAnsi="Calibri" w:cs="Calibri"/>
          <w:b/>
          <w:i w:val="0"/>
          <w:color w:val="1C1917"/>
          <w:sz w:val="21"/>
        </w:rPr>
        <w:t>Bachelor of Business Administration (Marketing)  |  British Columbia Institute of Technology</w:t>
      </w:r>
      <w:r>
        <w:rPr>
          <w:rFonts w:ascii="Calibri" w:hAnsi="Calibri" w:cs="Calibri"/>
          <w:b w:val="0"/>
          <w:i w:val="0"/>
          <w:color w:val="78716C"/>
          <w:sz w:val="18"/>
        </w:rPr>
        <w:t xml:space="preserve">    </w:t>
      </w:r>
    </w:p>
    <w:p>
      <w:pPr>
        <w:keepNext w:val="0"/>
        <w:spacing w:before="20" w:after="20" w:line="240" w:lineRule="auto"/>
        <w:pBdr>
          <w:bottom w:val="single" w:sz="6" w:space="1" w:color="6D28D9"/>
        </w:pBdr>
      </w:pPr>
    </w:p>
    <w:p>
      <w:pPr>
        <w:keepNext/>
        <w:spacing w:before="80" w:after="20" w:line="240" w:lineRule="auto"/>
      </w:pPr>
      <w:r>
        <w:rPr>
          <w:rFonts w:ascii="Calibri" w:hAnsi="Calibri" w:cs="Calibri"/>
          <w:b/>
          <w:i w:val="0"/>
          <w:color w:val="6D28D9"/>
          <w:sz w:val="21"/>
        </w:rPr>
        <w:t>LEADERSHIP</w:t>
      </w:r>
    </w:p>
    <w:p>
      <w:pPr>
        <w:keepNext w:val="0"/>
        <w:spacing w:before="20" w:after="20" w:line="240" w:lineRule="auto"/>
      </w:pPr>
      <w:r>
        <w:rPr>
          <w:rFonts w:ascii="Calibri" w:hAnsi="Calibri" w:cs="Calibri"/>
          <w:b w:val="0"/>
          <w:i w:val="0"/>
          <w:color w:val="44403C"/>
          <w:sz w:val="19"/>
        </w:rPr>
        <w:t>Speaker, ProductCamp BC (2025) — “How Legacy Industries Can Adopt a Product Mindset to Improve Service Delivery.”  Mentor, ProductBC — discovery, roadmap judgment, and stakeholder communication.</w:t>
      </w:r>
    </w:p>
    <w:p>
      <w:pPr>
        <w:keepNext w:val="0"/>
        <w:spacing w:before="20" w:after="20" w:line="240" w:lineRule="auto"/>
        <w:pBdr>
          <w:bottom w:val="single" w:sz="6" w:space="1" w:color="6D28D9"/>
        </w:pBdr>
      </w:pPr>
    </w:p>
    <w:p>
      <w:pPr>
        <w:keepNext/>
        <w:spacing w:before="80" w:after="20" w:line="240" w:lineRule="auto"/>
      </w:pPr>
      <w:r>
        <w:rPr>
          <w:rFonts w:ascii="Calibri" w:hAnsi="Calibri" w:cs="Calibri"/>
          <w:b/>
          <w:i w:val="0"/>
          <w:color w:val="6D28D9"/>
          <w:sz w:val="21"/>
        </w:rPr>
        <w:t>SKILLS</w:t>
      </w:r>
    </w:p>
    <w:p>
      <w:pPr>
        <w:spacing w:before="20" w:after="0" w:line="240" w:lineRule="auto"/>
      </w:pPr>
      <w:r>
        <w:rPr>
          <w:rFonts w:ascii="Calibri" w:hAnsi="Calibri" w:cs="Calibri"/>
          <w:b/>
          <w:i w:val="0"/>
          <w:color w:val="5B21B6"/>
          <w:sz w:val="18"/>
        </w:rPr>
        <w:t xml:space="preserve">Product:  </w:t>
      </w:r>
      <w:r>
        <w:rPr>
          <w:rFonts w:ascii="Calibri" w:hAnsi="Calibri" w:cs="Calibri"/>
          <w:b w:val="0"/>
          <w:i w:val="0"/>
          <w:color w:val="44403C"/>
          <w:sz w:val="18"/>
        </w:rPr>
        <w:t>Requirements &amp; acceptance criteria  •  Backlog &amp; sprint delivery  •  Prioritization  •  Customer discovery  •  0-to-1  •  Phased rollouts  •  Usage analytics</w:t>
      </w:r>
    </w:p>
    <w:p>
      <w:pPr>
        <w:spacing w:before="20" w:after="0" w:line="240" w:lineRule="auto"/>
      </w:pPr>
      <w:r>
        <w:rPr>
          <w:rFonts w:ascii="Calibri" w:hAnsi="Calibri" w:cs="Calibri"/>
          <w:b/>
          <w:i w:val="0"/>
          <w:color w:val="5B21B6"/>
          <w:sz w:val="18"/>
        </w:rPr>
        <w:t xml:space="preserve">Healthcare:  </w:t>
      </w:r>
      <w:r>
        <w:rPr>
          <w:rFonts w:ascii="Calibri" w:hAnsi="Calibri" w:cs="Calibri"/>
          <w:b w:val="0"/>
          <w:i w:val="0"/>
          <w:color w:val="44403C"/>
          <w:sz w:val="18"/>
        </w:rPr>
        <w:t>Treatment authorization  •  Clinical review workflows  •  Claims rules &amp; validation  •  Provider billing  •  Health-system integrations (EMR)</w:t>
      </w:r>
    </w:p>
    <w:p>
      <w:pPr>
        <w:spacing w:before="20" w:after="0" w:line="240" w:lineRule="auto"/>
      </w:pPr>
      <w:r>
        <w:rPr>
          <w:rFonts w:ascii="Calibri" w:hAnsi="Calibri" w:cs="Calibri"/>
          <w:b/>
          <w:i w:val="0"/>
          <w:color w:val="5B21B6"/>
          <w:sz w:val="18"/>
        </w:rPr>
        <w:t xml:space="preserve">AI:  </w:t>
      </w:r>
      <w:r>
        <w:rPr>
          <w:rFonts w:ascii="Calibri" w:hAnsi="Calibri" w:cs="Calibri"/>
          <w:b w:val="0"/>
          <w:i w:val="0"/>
          <w:color w:val="44403C"/>
          <w:sz w:val="18"/>
        </w:rPr>
        <w:t>LLM decision support  •  Retrieval over clinical documents  •  Human-in-the-loop design  •  NLP classification  •  AI-assisted prototyping (Lovable, Copilot)</w:t>
      </w:r>
    </w:p>
    <w:p>
      <w:pPr>
        <w:spacing w:before="20" w:after="0" w:line="240" w:lineRule="auto"/>
      </w:pPr>
      <w:r>
        <w:rPr>
          <w:rFonts w:ascii="Calibri" w:hAnsi="Calibri" w:cs="Calibri"/>
          <w:b/>
          <w:i w:val="0"/>
          <w:color w:val="5B21B6"/>
          <w:sz w:val="18"/>
        </w:rPr>
        <w:t xml:space="preserve">Tools:  </w:t>
      </w:r>
      <w:r>
        <w:rPr>
          <w:rFonts w:ascii="Calibri" w:hAnsi="Calibri" w:cs="Calibri"/>
          <w:b w:val="0"/>
          <w:i w:val="0"/>
          <w:color w:val="44403C"/>
          <w:sz w:val="18"/>
        </w:rPr>
        <w:t>Jira  •  Azure DevOps  •  PostHog  •  SQL  •  Python  •  Figma  •  REST APIs</w:t>
      </w:r>
    </w:p>
    <w:sectPr w:rsidR="00FC693F" w:rsidRPr="0006063C" w:rsidSect="00034616">
      <w:pgSz w:w="12240" w:h="15840"/>
      <w:pgMar w:top="709" w:right="964" w:bottom="652"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isplayBackgroundShap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khushdodani" TargetMode="External"/><Relationship Id="rId10" Type="http://schemas.openxmlformats.org/officeDocument/2006/relationships/hyperlink" Target="https://kdodani-portfolio.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