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40" w:line="240" w:lineRule="auto"/>
        <w:jc w:val="center"/>
      </w:pPr>
      <w:r>
        <w:rPr>
          <w:b/>
          <w:color w:val="1C1917"/>
          <w:sz w:val="36"/>
        </w:rPr>
        <w:t>KHUSHBOO DODANI</w:t>
      </w:r>
    </w:p>
    <w:p>
      <w:pPr>
        <w:spacing w:before="0" w:after="40" w:line="240" w:lineRule="auto"/>
        <w:jc w:val="center"/>
      </w:pPr>
      <w:r>
        <w:rPr>
          <w:color w:val="78716C"/>
          <w:sz w:val="18"/>
        </w:rPr>
        <w:t xml:space="preserve">San Francisco Bay Area  |  khushdodani@gmail.com  |  </w:t>
      </w:r>
      <w:hyperlink r:id="rId9">
        <w:r>
          <w:rPr>
            <w:color w:val="78716C"/>
            <w:sz w:val="18"/>
            <w:szCs w:val="18"/>
            <w:u w:val="single"/>
          </w:rPr>
          <w:t xml:space="preserve">LinkedIn</w:t>
        </w:r>
      </w:hyperlink>
      <w:r>
        <w:rPr>
          <w:color w:val="78716C"/>
          <w:sz w:val="18"/>
        </w:rPr>
        <w:t xml:space="preserve">  |  </w:t>
      </w:r>
      <w:hyperlink r:id="rId10">
        <w:r>
          <w:rPr>
            <w:color w:val="78716C"/>
            <w:sz w:val="18"/>
            <w:szCs w:val="18"/>
            <w:u w:val="single"/>
          </w:rPr>
          <w:t xml:space="preserve">GitHub</w:t>
        </w:r>
      </w:hyperlink>
      <w:r>
        <w:rPr>
          <w:color w:val="78716C"/>
          <w:sz w:val="18"/>
        </w:rPr>
        <w:t xml:space="preserve">  |  </w:t>
      </w:r>
      <w:hyperlink r:id="rId11">
        <w:r>
          <w:rPr>
            <w:color w:val="78716C"/>
            <w:sz w:val="18"/>
            <w:szCs w:val="18"/>
            <w:u w:val="single"/>
          </w:rPr>
          <w:t xml:space="preserve">Portfolio</w:t>
        </w:r>
      </w:hyperlink>
    </w:p>
    <w:p>
      <w:pPr>
        <w:spacing w:before="40" w:after="40" w:line="240" w:lineRule="auto"/>
        <w:jc w:val="center"/>
      </w:pPr>
      <w:r>
        <w:rPr>
          <w:b/>
          <w:color w:val="6D28D9"/>
          <w:sz w:val="24"/>
        </w:rPr>
        <w:t>SENIOR PRODUCT MANAGER</w:t>
      </w:r>
    </w:p>
    <w:p>
      <w:pPr>
        <w:spacing w:before="20" w:after="80" w:line="240" w:lineRule="auto"/>
        <w:jc w:val="center"/>
      </w:pPr>
      <w:r>
        <w:rPr>
          <w:color w:val="5B21B6"/>
          <w:sz w:val="18"/>
        </w:rPr>
        <w:t>Money Movement Flows  •  Funnel Conversion  •  Design Craft  •  Regulated Experiences</w:t>
      </w:r>
    </w:p>
    <w:p>
      <w:pPr>
        <w:spacing w:before="20" w:after="20" w:line="240" w:lineRule="auto"/>
        <w:pBdr>
          <w:bottom w:val="single" w:sz="6" w:space="1" w:color="6D28D9"/>
        </w:pBdr>
      </w:pPr>
    </w:p>
    <w:p>
      <w:pPr>
        <w:spacing w:before="60" w:after="20" w:line="240" w:lineRule="auto"/>
      </w:pPr>
      <w:r>
        <w:rPr>
          <w:i w:val="0"/>
          <w:color w:val="44403C"/>
          <w:sz w:val="19"/>
        </w:rPr>
        <w:t>Product manager with 5 years owning transaction-heavy, regulated journeys end to end — submission, validation, eligibility, and payment — where customers decide whether they trust the product. Finds the friction and failure points in the funnel, fixes them with design and engineering, and measures the lift: paper 56% → 19%, portal 39% → 55%, invalid submissions −40%. $1.2M+ funded, including $580K to scale a billing rebuild.</w:t>
      </w:r>
    </w:p>
    <w:p>
      <w:pPr>
        <w:spacing w:before="0" w:after="40" w:line="240" w:lineRule="auto"/>
      </w:pPr>
      <w:r>
        <w:rPr>
          <w:i w:val="0"/>
          <w:color w:val="44403C"/>
          <w:sz w:val="19"/>
        </w:rPr>
        <w:t>Leads 0→1 launches and holds a high bar for craft: cut an 11-screen flow to 5, built reusable error-validation patterns with designers, and shipped with compliance, policy, and engineering partners so every experience is compliant without being clunky. Instruments before launch and iterates with experiments. Master of Business Analytics (Python, SQL, machine learning); BBA in Marketing.</w:t>
      </w:r>
    </w:p>
    <w:p>
      <w:pPr>
        <w:spacing w:before="20" w:after="20" w:line="240" w:lineRule="auto"/>
        <w:pBdr>
          <w:bottom w:val="single" w:sz="6" w:space="1" w:color="6D28D9"/>
        </w:pBdr>
      </w:pPr>
    </w:p>
    <w:p>
      <w:pPr>
        <w:keepNext/>
        <w:spacing w:before="80" w:after="20" w:line="240" w:lineRule="auto"/>
      </w:pPr>
      <w:r>
        <w:rPr>
          <w:b/>
          <w:color w:val="6D28D9"/>
          <w:sz w:val="21"/>
        </w:rPr>
        <w:t>EXPERIENCE</w:t>
      </w:r>
    </w:p>
    <w:p>
      <w:pPr>
        <w:keepNext/>
        <w:spacing w:before="60" w:after="0" w:line="240" w:lineRule="auto"/>
      </w:pPr>
      <w:r>
        <w:rPr>
          <w:b/>
          <w:color w:val="1C1917"/>
          <w:sz w:val="20"/>
        </w:rPr>
        <w:t>Product Manager  |  WorkSafeBC</w:t>
      </w:r>
      <w:r>
        <w:rPr>
          <w:b w:val="0"/>
          <w:color w:val="78716C"/>
          <w:sz w:val="18"/>
        </w:rPr>
        <w:t xml:space="preserve">    Apr 2024 – Present</w:t>
      </w:r>
    </w:p>
    <w:p>
      <w:pPr>
        <w:keepNext/>
        <w:spacing w:before="0" w:after="20" w:line="240" w:lineRule="auto"/>
      </w:pPr>
      <w:r>
        <w:rPr>
          <w:b w:val="0"/>
          <w:i/>
          <w:color w:val="4F46E5"/>
          <w:sz w:val="18"/>
        </w:rPr>
        <w:t>British Columbia’s workers’ compensation insurer — billing, eligibility, authorization, and identity.</w:t>
      </w:r>
    </w:p>
    <w:p>
      <w:pPr>
        <w:pStyle w:val="ListBullet"/>
        <w:spacing w:before="0" w:after="10" w:line="240" w:lineRule="auto"/>
        <w:ind w:left="576" w:hanging="288"/>
      </w:pPr>
      <w:r>
        <w:rPr>
          <w:color w:val="44403C"/>
          <w:sz w:val="18"/>
        </w:rPr>
        <w:t>Own the roadmap for billing, eligibility, authorization, and identity with engineering, design, operations, policy, compliance, and executives. Built the business cases that secured $1.2M+ in funding.</w:t>
      </w:r>
    </w:p>
    <w:p>
      <w:pPr>
        <w:pStyle w:val="ListBullet"/>
        <w:spacing w:before="0" w:after="10" w:line="240" w:lineRule="auto"/>
        <w:ind w:left="576" w:hanging="288"/>
      </w:pPr>
      <w:r>
        <w:rPr>
          <w:color w:val="44403C"/>
          <w:sz w:val="18"/>
        </w:rPr>
        <w:t>Rebuilt the invoice-submission journey, where providers send billing to be paid. Analyzed 3.7M line items: 25 of 3,795 organizations drove 50% of paper (~280K lines). Cut 11 screens → 5 with multi-claim entry. Paper 56% → 19%; portal 39% → 55%; 60% digital adoption in six months; support calls −30%; NPS +25; ~$200K annual savings. Secured $580K to scale.</w:t>
      </w:r>
    </w:p>
    <w:p>
      <w:pPr>
        <w:pStyle w:val="ListBullet"/>
        <w:spacing w:before="0" w:after="10" w:line="240" w:lineRule="auto"/>
        <w:ind w:left="576" w:hanging="288"/>
      </w:pPr>
      <w:r>
        <w:rPr>
          <w:color w:val="44403C"/>
          <w:sz w:val="18"/>
        </w:rPr>
        <w:t>Removed failure points before money moves: in-product validation against fee schedules, rates, and service codes, and contract eligibility exposed on the API so organizations only see what they can bill. Invalid submissions −40%; bad claims stopped at submit, not in cleanup.</w:t>
      </w:r>
    </w:p>
    <w:p>
      <w:pPr>
        <w:pStyle w:val="ListBullet"/>
        <w:spacing w:before="0" w:after="10" w:line="240" w:lineRule="auto"/>
        <w:ind w:left="576" w:hanging="288"/>
      </w:pPr>
      <w:r>
        <w:rPr>
          <w:color w:val="44403C"/>
          <w:sz w:val="18"/>
        </w:rPr>
        <w:t>Held a high bar for craft with design. Co-built reusable error-validation patterns, reordered the flow so worker details are entered once and validated up front, and made usability fixes (claim-number tooltip, removed low-value subtext, required follow-up fields). Negotiated new components only where reuse justified them.</w:t>
      </w:r>
    </w:p>
    <w:p>
      <w:pPr>
        <w:pStyle w:val="ListBullet"/>
        <w:spacing w:before="0" w:after="10" w:line="240" w:lineRule="auto"/>
        <w:ind w:left="576" w:hanging="288"/>
      </w:pPr>
      <w:r>
        <w:rPr>
          <w:color w:val="44403C"/>
          <w:sz w:val="18"/>
        </w:rPr>
        <w:t>Let research and data set priorities. Discovery showed office admins, not clinicians, were the real users, so I segmented by workflow and fixed survey bias. Request-aging data (most resolved within 3 days) led me to deprioritize a "ping" feature and test a call-back feature instead.</w:t>
      </w:r>
    </w:p>
    <w:p>
      <w:pPr>
        <w:pStyle w:val="ListBullet"/>
        <w:spacing w:before="0" w:after="10" w:line="240" w:lineRule="auto"/>
        <w:ind w:left="576" w:hanging="288"/>
      </w:pPr>
      <w:r>
        <w:rPr>
          <w:color w:val="44403C"/>
          <w:sz w:val="18"/>
        </w:rPr>
        <w:t>Instrumented PostHog (submit, error, drop-off) before launch. Ran A/B tests on onboarding and discoverability, and dark → soft → full launches — 322K existing digital lines/year stayed live while a high-volume segment activated.</w:t>
      </w:r>
    </w:p>
    <w:p>
      <w:pPr>
        <w:pStyle w:val="ListBullet"/>
        <w:spacing w:before="0" w:after="10" w:line="240" w:lineRule="auto"/>
        <w:ind w:left="576" w:hanging="288"/>
      </w:pPr>
      <w:r>
        <w:rPr>
          <w:color w:val="44403C"/>
          <w:sz w:val="18"/>
        </w:rPr>
        <w:t>Partnered with policy and risk on an $80M program where 79% of 139K requests were always approved. Declined auto-approval — it would have weakened review on the largest spend — and shipped tracking, validation, and decision rationale so humans kept the decision.</w:t>
      </w:r>
    </w:p>
    <w:p>
      <w:pPr>
        <w:pStyle w:val="ListBullet"/>
        <w:spacing w:before="0" w:after="10" w:line="240" w:lineRule="auto"/>
        <w:ind w:left="576" w:hanging="288"/>
      </w:pPr>
      <w:r>
        <w:rPr>
          <w:color w:val="44403C"/>
          <w:sz w:val="18"/>
        </w:rPr>
        <w:t>Led a 0→1 API with engineering and 50 EMR vendors, TELUS, and government partners after users would not leave their system of record (API gateway, OAuth 2.0 / mTLS). $80K proof; roadmap for ~70% of the ecosystem. Migrated 5,600 users across 500 organizations and 62K+ annual referrals to new identity — 0 downtime.</w:t>
      </w:r>
    </w:p>
    <w:p>
      <w:pPr>
        <w:pStyle w:val="ListBullet"/>
        <w:spacing w:before="0" w:after="10" w:line="240" w:lineRule="auto"/>
        <w:ind w:left="576" w:hanging="288"/>
      </w:pPr>
      <w:r>
        <w:rPr>
          <w:color w:val="44403C"/>
          <w:sz w:val="18"/>
        </w:rPr>
        <w:t>Built Referral Radar (LLM retrieval across 20–75 documents per case) with evidence traces and a human decision-maker; synthetic-data path when production data was blocked. 2nd place, InnoFest 2025.</w:t>
      </w:r>
    </w:p>
    <w:p>
      <w:pPr>
        <w:keepNext/>
        <w:spacing w:before="60" w:after="0" w:line="240" w:lineRule="auto"/>
      </w:pPr>
      <w:r>
        <w:rPr>
          <w:b/>
          <w:color w:val="1C1917"/>
          <w:sz w:val="20"/>
        </w:rPr>
        <w:t>Product Manager (promoted from Business Analyst)  |  Technical Safety BC</w:t>
      </w:r>
      <w:r>
        <w:rPr>
          <w:b w:val="0"/>
          <w:color w:val="78716C"/>
          <w:sz w:val="18"/>
        </w:rPr>
        <w:t xml:space="preserve">    Oct 2021 – Apr 2024</w:t>
      </w:r>
    </w:p>
    <w:p>
      <w:pPr>
        <w:pStyle w:val="ListBullet"/>
        <w:spacing w:before="0" w:after="10" w:line="240" w:lineRule="auto"/>
        <w:ind w:left="576" w:hanging="288"/>
      </w:pPr>
      <w:r>
        <w:rPr>
          <w:color w:val="44403C"/>
          <w:sz w:val="18"/>
        </w:rPr>
        <w:t>Built membership, churn, and engagement products that identified 11.7% annual churn; RFM segmentation retained 78% of high-risk customers.</w:t>
      </w:r>
    </w:p>
    <w:p>
      <w:pPr>
        <w:pStyle w:val="ListBullet"/>
        <w:spacing w:before="0" w:after="10" w:line="240" w:lineRule="auto"/>
        <w:ind w:left="576" w:hanging="288"/>
      </w:pPr>
      <w:r>
        <w:rPr>
          <w:color w:val="44403C"/>
          <w:sz w:val="18"/>
        </w:rPr>
        <w:t>Shipped NLP email classification into a live routing workflow, reducing manual inbox processing.</w:t>
      </w:r>
    </w:p>
    <w:p>
      <w:pPr>
        <w:pStyle w:val="ListBullet"/>
        <w:spacing w:before="0" w:after="10" w:line="240" w:lineRule="auto"/>
        <w:ind w:left="576" w:hanging="288"/>
      </w:pPr>
      <w:r>
        <w:rPr>
          <w:color w:val="44403C"/>
          <w:sz w:val="18"/>
        </w:rPr>
        <w:t>Led discovery for a mobile inspections platform through field interviews, workflow mapping, prototyping, and usability testing before engineering investment; owned requirements and roadmap in a compliance-constrained operation.</w:t>
      </w:r>
    </w:p>
    <w:p>
      <w:pPr>
        <w:keepNext/>
        <w:spacing w:before="60" w:after="0" w:line="240" w:lineRule="auto"/>
      </w:pPr>
      <w:r>
        <w:rPr>
          <w:b/>
          <w:color w:val="1C1917"/>
          <w:sz w:val="20"/>
        </w:rPr>
        <w:t>Strategy Consultant  |  180 Degrees Consulting (UBC)</w:t>
      </w:r>
      <w:r>
        <w:rPr>
          <w:b w:val="0"/>
          <w:color w:val="78716C"/>
          <w:sz w:val="18"/>
        </w:rPr>
        <w:t xml:space="preserve">    Sep 2020 – Oct 2021</w:t>
      </w:r>
    </w:p>
    <w:p>
      <w:pPr>
        <w:pStyle w:val="ListBullet"/>
        <w:spacing w:before="0" w:after="10" w:line="240" w:lineRule="auto"/>
        <w:ind w:left="576" w:hanging="288"/>
      </w:pPr>
      <w:r>
        <w:rPr>
          <w:color w:val="44403C"/>
          <w:sz w:val="18"/>
        </w:rPr>
        <w:t>Designed a conversion-focused acquisition system for Open Primaries that cut bounce rate 37% while doubling subscriptions.</w:t>
      </w:r>
    </w:p>
    <w:p>
      <w:pPr>
        <w:keepNext/>
        <w:spacing w:before="60" w:after="0" w:line="240" w:lineRule="auto"/>
      </w:pPr>
      <w:r>
        <w:rPr>
          <w:b/>
          <w:color w:val="1C1917"/>
          <w:sz w:val="20"/>
        </w:rPr>
        <w:t>SEO Consultant — Growth &amp; Analytics  |  Convertus</w:t>
      </w:r>
      <w:r>
        <w:rPr>
          <w:b w:val="0"/>
          <w:color w:val="78716C"/>
          <w:sz w:val="18"/>
        </w:rPr>
        <w:t xml:space="preserve">    May 2018 – Jul 2019</w:t>
      </w:r>
    </w:p>
    <w:p>
      <w:pPr>
        <w:pStyle w:val="ListBullet"/>
        <w:spacing w:before="0" w:after="10" w:line="240" w:lineRule="auto"/>
        <w:ind w:left="576" w:hanging="288"/>
      </w:pPr>
      <w:r>
        <w:rPr>
          <w:color w:val="44403C"/>
          <w:sz w:val="18"/>
        </w:rPr>
        <w:t>Built acquisition and forecasting systems for 75+ digital properties: organic performance ~150%, SEO forecast accuracy ~85%.</w:t>
      </w:r>
    </w:p>
    <w:p>
      <w:pPr>
        <w:spacing w:before="20" w:after="20" w:line="240" w:lineRule="auto"/>
        <w:pBdr>
          <w:bottom w:val="single" w:sz="6" w:space="1" w:color="6D28D9"/>
        </w:pBdr>
      </w:pPr>
    </w:p>
    <w:p>
      <w:pPr>
        <w:keepNext/>
        <w:spacing w:before="80" w:after="20" w:line="240" w:lineRule="auto"/>
      </w:pPr>
      <w:r>
        <w:rPr>
          <w:b/>
          <w:color w:val="6D28D9"/>
          <w:sz w:val="21"/>
        </w:rPr>
        <w:t>EDUCATION</w:t>
      </w:r>
    </w:p>
    <w:p>
      <w:pPr>
        <w:keepNext/>
        <w:spacing w:before="60" w:after="0" w:line="240" w:lineRule="auto"/>
      </w:pPr>
      <w:r>
        <w:rPr>
          <w:b/>
          <w:color w:val="1C1917"/>
          <w:sz w:val="20"/>
        </w:rPr>
        <w:t>Master of Business Analytics  |  University of British Columbia</w:t>
      </w:r>
      <w:r>
        <w:rPr>
          <w:b w:val="0"/>
          <w:color w:val="78716C"/>
          <w:sz w:val="18"/>
        </w:rPr>
        <w:t xml:space="preserve">    </w:t>
      </w:r>
    </w:p>
    <w:p>
      <w:pPr>
        <w:spacing w:before="0" w:after="20" w:line="240" w:lineRule="auto"/>
      </w:pPr>
      <w:r>
        <w:rPr>
          <w:i w:val="0"/>
          <w:color w:val="78716C"/>
          <w:sz w:val="18"/>
        </w:rPr>
        <w:t>Python  •  SQL  •  Machine Learning  •  Optimization  •  Product Analytics</w:t>
      </w:r>
    </w:p>
    <w:p>
      <w:pPr>
        <w:keepNext/>
        <w:spacing w:before="60" w:after="0" w:line="240" w:lineRule="auto"/>
      </w:pPr>
      <w:r>
        <w:rPr>
          <w:b/>
          <w:color w:val="1C1917"/>
          <w:sz w:val="20"/>
        </w:rPr>
        <w:t>Bachelor of Business Administration (Marketing)  |  British Columbia Institute of Technology</w:t>
      </w:r>
      <w:r>
        <w:rPr>
          <w:b w:val="0"/>
          <w:color w:val="78716C"/>
          <w:sz w:val="18"/>
        </w:rPr>
        <w:t xml:space="preserve">    </w:t>
      </w:r>
    </w:p>
    <w:p>
      <w:pPr>
        <w:spacing w:before="20" w:after="20" w:line="240" w:lineRule="auto"/>
        <w:pBdr>
          <w:bottom w:val="single" w:sz="6" w:space="1" w:color="6D28D9"/>
        </w:pBdr>
      </w:pPr>
    </w:p>
    <w:p>
      <w:pPr>
        <w:keepNext/>
        <w:spacing w:before="80" w:after="20" w:line="240" w:lineRule="auto"/>
      </w:pPr>
      <w:r>
        <w:rPr>
          <w:b/>
          <w:color w:val="6D28D9"/>
          <w:sz w:val="21"/>
        </w:rPr>
        <w:t>LEADERSHIP</w:t>
      </w:r>
    </w:p>
    <w:p>
      <w:pPr>
        <w:spacing w:before="0" w:after="20" w:line="240" w:lineRule="auto"/>
      </w:pPr>
      <w:r>
        <w:rPr>
          <w:i w:val="0"/>
          <w:color w:val="44403C"/>
          <w:sz w:val="18"/>
        </w:rPr>
        <w:t>ProductCamp BC speaker (2025): “How Legacy Industries Can Adopt a Product Mindset.” Mentor, ProductBC.</w:t>
      </w:r>
    </w:p>
    <w:p>
      <w:pPr>
        <w:spacing w:before="20" w:after="20" w:line="240" w:lineRule="auto"/>
        <w:pBdr>
          <w:bottom w:val="single" w:sz="6" w:space="1" w:color="6D28D9"/>
        </w:pBdr>
      </w:pPr>
    </w:p>
    <w:p>
      <w:pPr>
        <w:keepNext/>
        <w:spacing w:before="80" w:after="20" w:line="240" w:lineRule="auto"/>
      </w:pPr>
      <w:r>
        <w:rPr>
          <w:b/>
          <w:color w:val="6D28D9"/>
          <w:sz w:val="21"/>
        </w:rPr>
        <w:t>SKILLS</w:t>
      </w:r>
    </w:p>
    <w:p>
      <w:pPr>
        <w:spacing w:before="0" w:after="0" w:line="240" w:lineRule="auto"/>
      </w:pPr>
      <w:r>
        <w:rPr>
          <w:b/>
          <w:color w:val="5B21B6"/>
          <w:sz w:val="18"/>
        </w:rPr>
        <w:t xml:space="preserve">Product:  </w:t>
      </w:r>
      <w:r>
        <w:rPr>
          <w:color w:val="44403C"/>
          <w:sz w:val="18"/>
        </w:rPr>
        <w:t>Strategy  •  Roadmaps  •  0→1 Launches  •  Funnel Conversion  •  Transaction Success  •  Executive Business Cases</w:t>
      </w:r>
    </w:p>
    <w:p>
      <w:pPr>
        <w:spacing w:before="0" w:after="0" w:line="240" w:lineRule="auto"/>
      </w:pPr>
      <w:r>
        <w:rPr>
          <w:b/>
          <w:color w:val="5B21B6"/>
          <w:sz w:val="18"/>
        </w:rPr>
        <w:t xml:space="preserve">Experience &amp; design:  </w:t>
      </w:r>
      <w:r>
        <w:rPr>
          <w:color w:val="44403C"/>
          <w:sz w:val="18"/>
        </w:rPr>
        <w:t>Design Partnership  •  Error-State UX  •  Usability Testing  •  Prototyping  •  User Interviews  •  Journey Mapping</w:t>
      </w:r>
    </w:p>
    <w:p>
      <w:pPr>
        <w:spacing w:before="0" w:after="0" w:line="240" w:lineRule="auto"/>
      </w:pPr>
      <w:r>
        <w:rPr>
          <w:b/>
          <w:color w:val="5B21B6"/>
          <w:sz w:val="18"/>
        </w:rPr>
        <w:t xml:space="preserve">Analytics &amp; experimentation:  </w:t>
      </w:r>
      <w:r>
        <w:rPr>
          <w:color w:val="44403C"/>
          <w:sz w:val="18"/>
        </w:rPr>
        <w:t>PostHog  •  Funnels &amp; Cohorts  •  A/B Testing  •  Staged Launches  •  SQL  •  Python  •  RFM</w:t>
      </w:r>
    </w:p>
    <w:p>
      <w:pPr>
        <w:spacing w:before="0" w:after="0" w:line="240" w:lineRule="auto"/>
      </w:pPr>
      <w:r>
        <w:rPr>
          <w:b/>
          <w:color w:val="5B21B6"/>
          <w:sz w:val="18"/>
        </w:rPr>
        <w:t xml:space="preserve">Regulated products &amp; platform:  </w:t>
      </w:r>
      <w:r>
        <w:rPr>
          <w:color w:val="44403C"/>
          <w:sz w:val="18"/>
        </w:rPr>
        <w:t>Eligibility &amp; Validation  •  Risk vs. Automation  •  Policy &amp; Compliance  •  REST APIs  •  OAuth / mTLS  •  Vendor Integrations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