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 w:line="240" w:lineRule="auto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 w:line="240" w:lineRule="auto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 w:line="240" w:lineRule="auto"/>
        <w:jc w:val="center"/>
      </w:pPr>
      <w:r>
        <w:rPr>
          <w:b/>
          <w:color w:val="6D28D9"/>
          <w:sz w:val="24"/>
        </w:rPr>
        <w:t>SENIOR PRODUCT MANAGER</w:t>
      </w:r>
    </w:p>
    <w:p>
      <w:pPr>
        <w:spacing w:before="20" w:after="80" w:line="240" w:lineRule="auto"/>
        <w:jc w:val="center"/>
      </w:pPr>
      <w:r>
        <w:rPr>
          <w:color w:val="5B21B6"/>
          <w:sz w:val="18"/>
        </w:rPr>
        <w:t>Regulated Products  •  Roadmaps &amp; Delivery  •  Experimentation  •  Risk &amp; Compliance</w:t>
      </w:r>
    </w:p>
    <w:p>
      <w:pPr>
        <w:spacing w:before="20" w:after="20" w:line="240" w:lineRule="auto"/>
        <w:pBdr>
          <w:bottom w:val="single" w:sz="6" w:space="1" w:color="6D28D9"/>
        </w:pBdr>
      </w:pPr>
    </w:p>
    <w:p>
      <w:pPr>
        <w:spacing w:before="60" w:after="20" w:line="240" w:lineRule="auto"/>
      </w:pPr>
      <w:r>
        <w:rPr>
          <w:i w:val="0"/>
          <w:color w:val="44403C"/>
          <w:sz w:val="19"/>
        </w:rPr>
        <w:t>Product manager with 5 years owning discovery through launch and iteration at a regulated insurer. Defines strategy and roadmaps, writes requirements with engineering, and presents business cases to executives — $1.2M+ funded, including $580K to scale a billing rebuild.</w:t>
      </w:r>
    </w:p>
    <w:p>
      <w:pPr>
        <w:spacing w:before="0" w:after="40" w:line="240" w:lineRule="auto"/>
      </w:pPr>
      <w:r>
        <w:rPr>
          <w:i w:val="0"/>
          <w:color w:val="44403C"/>
          <w:sz w:val="19"/>
        </w:rPr>
        <w:t>Turns member and operator pain into shipped product: eligibility and billing rules enforced before money moves, high-friction journeys rebuilt, and automation declined where it would weaken risk review. Instruments products before launch and iterates with experiments. Master of Business Analytics (Python, SQL, machine learning); BBA in Marketing.</w:t>
      </w:r>
    </w:p>
    <w:p>
      <w:pPr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b/>
          <w:color w:val="6D28D9"/>
          <w:sz w:val="21"/>
        </w:rPr>
        <w:t>EXPERIENCE</w:t>
      </w:r>
    </w:p>
    <w:p>
      <w:pPr>
        <w:keepNext/>
        <w:spacing w:before="60" w:after="0" w:line="240" w:lineRule="auto"/>
      </w:pPr>
      <w:r>
        <w:rPr>
          <w:b/>
          <w:color w:val="1C1917"/>
          <w:sz w:val="20"/>
        </w:rPr>
        <w:t>Product Manager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 w:line="240" w:lineRule="auto"/>
      </w:pPr>
      <w:r>
        <w:rPr>
          <w:b w:val="0"/>
          <w:i/>
          <w:color w:val="4F46E5"/>
          <w:sz w:val="18"/>
        </w:rPr>
        <w:t>British Columbia’s workers’ compensation insurer — billing, eligibility, authorization, and identity.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Owned roadmaps for billing, eligibility, authorization, and identity with engineering, design, operations, policy, compliance, and executives. Secured $1.2M+, including $580K to scale the billing rebuild.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Rebuilt invoice submission after 25 of 3,795 organizations drove 50% of paper (~280K lines): multi-claim entry, in-product validation, 11 screens → 5. Paper 56% → 19%; portal 39% → 55%; 60% digital adoption in six months; support calls −30%; NPS +25; ~$200K annual savings.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Instrumented PostHog before launch. Ran hypothesis-driven experiments, including A/B tests on onboarding and discoverability, and dark → soft → full launches — 322K existing digital lines/year stayed live while the new segment activated.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On an $80M program, 79% of 139K requests were always approved. With policy and risk partners, declined auto-approval — it would have weakened review on the largest spend — and shipped tracking, validation, and decision rationale so humans kept the decision.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Led a 0→1 API with engineering after users would not leave their system of record (JSON for proof speed, API gateway, OAuth 2.0 / mTLS). $80K proof and a roadmap for ~70% of the ecosystem. Migrated 5,600 users across 500 organizations and 62K+ annual transactions — 0 disruptions.</w:t>
      </w:r>
    </w:p>
    <w:p>
      <w:pPr>
        <w:keepNext/>
        <w:spacing w:before="60" w:after="0" w:line="240" w:lineRule="auto"/>
      </w:pPr>
      <w:r>
        <w:rPr>
          <w:b/>
          <w:color w:val="1C1917"/>
          <w:sz w:val="20"/>
        </w:rPr>
        <w:t>Product Manager (promoted from Business Analyst)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Built membership, churn, and engagement products that identified 11.7% annual churn; RFM segmentation retained 78% of high-risk customers.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Shipped NLP email classification into a live routing workflow, reducing manual inbox processing.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Led discovery through customer interviews, workflow mapping, prototyping, and usability testing before engineering investment; owned requirements and the roadmap with engineering in a compliance-constrained operation.</w:t>
      </w:r>
    </w:p>
    <w:p>
      <w:pPr>
        <w:keepNext/>
        <w:spacing w:before="60" w:after="0" w:line="240" w:lineRule="auto"/>
      </w:pPr>
      <w:r>
        <w:rPr>
          <w:b/>
          <w:color w:val="1C1917"/>
          <w:sz w:val="20"/>
        </w:rPr>
        <w:t>Strategy Consultant  |  180 Degrees Consulting (UBC)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Designed a growth acquisition system for Open Primaries that cut bounce rate 37% while doubling subscriptions.</w:t>
      </w:r>
    </w:p>
    <w:p>
      <w:pPr>
        <w:keepNext/>
        <w:spacing w:before="60" w:after="0" w:line="240" w:lineRule="auto"/>
      </w:pPr>
      <w:r>
        <w:rPr>
          <w:b/>
          <w:color w:val="1C1917"/>
          <w:sz w:val="20"/>
        </w:rPr>
        <w:t>SEO Consultant — Growth &amp; Analytics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0" w:after="10" w:line="240" w:lineRule="auto"/>
        <w:ind w:left="576" w:hanging="288"/>
      </w:pPr>
      <w:r>
        <w:rPr>
          <w:color w:val="44403C"/>
          <w:sz w:val="18"/>
        </w:rPr>
        <w:t>Built acquisition and forecasting systems for 75+ digital properties: organic performance ~150%, SEO forecast accuracy ~85%.</w:t>
      </w:r>
    </w:p>
    <w:p>
      <w:pPr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b/>
          <w:color w:val="6D28D9"/>
          <w:sz w:val="21"/>
        </w:rPr>
        <w:t>EDUCATION</w:t>
      </w:r>
    </w:p>
    <w:p>
      <w:pPr>
        <w:keepNext/>
        <w:spacing w:before="60" w:after="0" w:line="240" w:lineRule="auto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 w:line="240" w:lineRule="auto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60" w:after="0" w:line="240" w:lineRule="auto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b/>
          <w:color w:val="6D28D9"/>
          <w:sz w:val="21"/>
        </w:rPr>
        <w:t>LEADERSHIP</w:t>
      </w:r>
    </w:p>
    <w:p>
      <w:pPr>
        <w:spacing w:before="0" w:after="20" w:line="240" w:lineRule="auto"/>
      </w:pPr>
      <w:r>
        <w:rPr>
          <w:i w:val="0"/>
          <w:color w:val="44403C"/>
          <w:sz w:val="18"/>
        </w:rPr>
        <w:t>ProductCamp BC speaker (2025): “How Legacy Industries Can Adopt a Product Mindset.” Mentor, ProductBC.</w:t>
      </w:r>
    </w:p>
    <w:p>
      <w:pPr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b/>
          <w:color w:val="6D28D9"/>
          <w:sz w:val="21"/>
        </w:rPr>
        <w:t>SKILLS</w:t>
      </w:r>
    </w:p>
    <w:p>
      <w:pPr>
        <w:spacing w:before="0" w:after="0" w:line="240" w:lineRule="auto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Strategy  •  Roadmaps  •  Requirements &amp; Backlogs  •  End-to-End Delivery  •  Agile Tradeoffs  •  0→1 / 1→n</w:t>
      </w:r>
    </w:p>
    <w:p>
      <w:pPr>
        <w:spacing w:before="0" w:after="0" w:line="240" w:lineRule="auto"/>
      </w:pPr>
      <w:r>
        <w:rPr>
          <w:b/>
          <w:color w:val="5B21B6"/>
          <w:sz w:val="18"/>
        </w:rPr>
        <w:t xml:space="preserve">Analytics:  </w:t>
      </w:r>
      <w:r>
        <w:rPr>
          <w:color w:val="44403C"/>
          <w:sz w:val="18"/>
        </w:rPr>
        <w:t>PostHog  •  Funnels &amp; Cohorts  •  A/B Testing  •  Hypothesis-Driven Experiments  •  SQL  •  Python  •  RFM</w:t>
      </w:r>
    </w:p>
    <w:p>
      <w:pPr>
        <w:spacing w:before="0" w:after="0" w:line="240" w:lineRule="auto"/>
      </w:pPr>
      <w:r>
        <w:rPr>
          <w:b/>
          <w:color w:val="5B21B6"/>
          <w:sz w:val="18"/>
        </w:rPr>
        <w:t xml:space="preserve">Regulated products:  </w:t>
      </w:r>
      <w:r>
        <w:rPr>
          <w:color w:val="44403C"/>
          <w:sz w:val="18"/>
        </w:rPr>
        <w:t>Eligibility  •  Billing Validation  •  Risk vs. Automation  •  Policy &amp; Compliance  •  Business Cases</w:t>
      </w:r>
    </w:p>
    <w:p>
      <w:pPr>
        <w:spacing w:before="0" w:after="0" w:line="240" w:lineRule="auto"/>
      </w:pPr>
      <w:r>
        <w:rPr>
          <w:b/>
          <w:color w:val="5B21B6"/>
          <w:sz w:val="18"/>
        </w:rPr>
        <w:t xml:space="preserve">Technical &amp; research:  </w:t>
      </w:r>
      <w:r>
        <w:rPr>
          <w:color w:val="44403C"/>
          <w:sz w:val="18"/>
        </w:rPr>
        <w:t>REST APIs  •  OAuth  •  API Platforms  •  User Interviews  •  Journey Mapping  •  Usability Testing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