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0" w:line="240" w:lineRule="auto"/>
        <w:jc w:val="center"/>
      </w:pPr>
      <w:r>
        <w:rPr>
          <w:rFonts w:ascii="Calibri" w:hAnsi="Calibri" w:cs="Calibri"/>
          <w:b/>
          <w:i w:val="0"/>
          <w:color w:val="1C1917"/>
          <w:sz w:val="36"/>
        </w:rPr>
        <w:t>KHUSHBOO DODANI</w:t>
      </w:r>
    </w:p>
    <w:p>
      <w:pPr>
        <w:spacing w:before="0" w:after="0" w:line="240" w:lineRule="auto"/>
        <w:jc w:val="center"/>
      </w:pPr>
      <w:r>
        <w:rPr>
          <w:rFonts w:ascii="Calibri" w:hAnsi="Calibri" w:cs="Calibri"/>
          <w:b w:val="0"/>
          <w:i w:val="0"/>
          <w:color w:val="78716C"/>
          <w:sz w:val="18"/>
        </w:rPr>
        <w:t xml:space="preserve">San Francisco Bay Area  |  khushdodani@gmail.com  |  </w:t>
      </w:r>
      <w:hyperlink r:id="rId9">
        <w:r>
          <w:rPr>
            <w:rFonts w:ascii="Calibri" w:hAnsi="Calibri" w:cs="Calibri"/>
            <w:color w:val="78716C"/>
            <w:sz w:val="18"/>
            <w:szCs w:val="18"/>
            <w:u w:val="single"/>
          </w:rPr>
          <w:t xml:space="preserve">LinkedIn</w:t>
        </w:r>
      </w:hyperlink>
      <w:r>
        <w:rPr>
          <w:rFonts w:ascii="Calibri" w:hAnsi="Calibri" w:cs="Calibri"/>
          <w:b w:val="0"/>
          <w:i w:val="0"/>
          <w:color w:val="78716C"/>
          <w:sz w:val="18"/>
        </w:rPr>
        <w:t xml:space="preserve">  |  </w:t>
      </w:r>
      <w:hyperlink r:id="rId10">
        <w:r>
          <w:rPr>
            <w:rFonts w:ascii="Calibri" w:hAnsi="Calibri" w:cs="Calibri"/>
            <w:color w:val="78716C"/>
            <w:sz w:val="18"/>
            <w:szCs w:val="18"/>
            <w:u w:val="single"/>
          </w:rPr>
          <w:t xml:space="preserve">GitHub</w:t>
        </w:r>
      </w:hyperlink>
      <w:r>
        <w:rPr>
          <w:rFonts w:ascii="Calibri" w:hAnsi="Calibri" w:cs="Calibri"/>
          <w:b w:val="0"/>
          <w:i w:val="0"/>
          <w:color w:val="78716C"/>
          <w:sz w:val="18"/>
        </w:rPr>
        <w:t xml:space="preserve">  |  </w:t>
      </w:r>
      <w:hyperlink r:id="rId11">
        <w:r>
          <w:rPr>
            <w:rFonts w:ascii="Calibri" w:hAnsi="Calibri" w:cs="Calibri"/>
            <w:color w:val="78716C"/>
            <w:sz w:val="18"/>
            <w:szCs w:val="18"/>
            <w:u w:val="single"/>
          </w:rPr>
          <w:t xml:space="preserve">Portfolio</w:t>
        </w:r>
      </w:hyperlink>
    </w:p>
    <w:p>
      <w:pPr>
        <w:spacing w:before="20" w:after="0" w:line="240" w:lineRule="auto"/>
        <w:jc w:val="center"/>
      </w:pPr>
      <w:r>
        <w:rPr>
          <w:rFonts w:ascii="Calibri" w:hAnsi="Calibri" w:cs="Calibri"/>
          <w:b/>
          <w:i w:val="0"/>
          <w:color w:val="6D28D9"/>
          <w:sz w:val="23"/>
        </w:rPr>
        <w:t>PRODUCT MANAGER  —  PROVIDER ADOPTION, IMPLEMENTATION &amp; GROWTH</w:t>
      </w:r>
    </w:p>
    <w:p>
      <w:pPr>
        <w:spacing w:before="0" w:after="20" w:line="240" w:lineRule="auto"/>
        <w:jc w:val="center"/>
      </w:pPr>
      <w:r>
        <w:rPr>
          <w:rFonts w:ascii="Calibri" w:hAnsi="Calibri" w:cs="Calibri"/>
          <w:b w:val="0"/>
          <w:i w:val="0"/>
          <w:color w:val="5B21B6"/>
          <w:sz w:val="18"/>
        </w:rPr>
        <w:t>Customer Ownership  •  Implementation  •  Expansion  •  Data-Driven Solutions  •  Healthcare Operations</w:t>
      </w:r>
    </w:p>
    <w:p>
      <w:pPr>
        <w:keepNext/>
        <w:spacing w:before="20" w:after="20" w:line="240" w:lineRule="auto"/>
        <w:pBdr>
          <w:bottom w:val="single" w:sz="6" w:space="1" w:color="6D28D9"/>
        </w:pBdr>
      </w:pPr>
    </w:p>
    <w:p>
      <w:pPr>
        <w:spacing w:before="40" w:after="40" w:line="240" w:lineRule="auto"/>
      </w:pPr>
      <w:r>
        <w:rPr>
          <w:rFonts w:ascii="Calibri" w:hAnsi="Calibri" w:cs="Calibri"/>
          <w:b w:val="0"/>
          <w:i w:val="0"/>
          <w:color w:val="44403C"/>
          <w:sz w:val="19"/>
        </w:rPr>
        <w:t>Product manager who owns provider relationships end to end in regulated healthcare: discovery sessions, feature and rollout demos, onboarding, troubleshooting, and growth inside the accounts that matter most. At WorkSafeBC, rebuilt the submission experience for the 25 of 3,795 organizations driving half of remaining paper: about 60% digital within six months, paper share 56% → 19%, support calls −30%, NPS +25, about $200K saved, and $580K secured to scale. Moved 5,600 clinicians across 500 organizations with zero downtime. Sizes every initiative by spend, cost-to-serve, and segment lifetime value, from an $80M physiotherapy program to 102,000 permits at 1.9% net churn. SQL, Python, and PostHog. Master of Business Analytics; BBA in Marketing.</w:t>
      </w:r>
    </w:p>
    <w:p>
      <w:pPr>
        <w:keepNext/>
        <w:spacing w:before="20" w:after="20" w:line="240" w:lineRule="auto"/>
        <w:pBdr>
          <w:bottom w:val="single" w:sz="6" w:space="1" w:color="6D28D9"/>
        </w:pBdr>
      </w:pPr>
    </w:p>
    <w:p>
      <w:pPr>
        <w:keepNext/>
        <w:spacing w:before="40" w:after="0" w:line="240" w:lineRule="auto"/>
      </w:pPr>
      <w:r>
        <w:rPr>
          <w:rFonts w:ascii="Calibri" w:hAnsi="Calibri" w:cs="Calibri"/>
          <w:b/>
          <w:i w:val="0"/>
          <w:color w:val="6D28D9"/>
          <w:sz w:val="21"/>
        </w:rPr>
        <w:t>EXPERIENCE</w:t>
      </w:r>
    </w:p>
    <w:p>
      <w:pPr>
        <w:keepNext/>
        <w:spacing w:before="60" w:after="0" w:line="240" w:lineRule="auto"/>
      </w:pPr>
      <w:r>
        <w:rPr>
          <w:rFonts w:ascii="Calibri" w:hAnsi="Calibri" w:cs="Calibri"/>
          <w:b/>
          <w:i w:val="0"/>
          <w:color w:val="1C1917"/>
          <w:sz w:val="21"/>
        </w:rPr>
        <w:t>Product Manager — Provider Adoption &amp; Platform  |  WorkSafeBC</w:t>
      </w:r>
      <w:r>
        <w:rPr>
          <w:rFonts w:ascii="Calibri" w:hAnsi="Calibri" w:cs="Calibri"/>
          <w:b w:val="0"/>
          <w:i w:val="0"/>
          <w:color w:val="78716C"/>
          <w:sz w:val="18"/>
        </w:rPr>
        <w:t xml:space="preserve">    Apr 2024 – Present</w:t>
      </w:r>
    </w:p>
    <w:p>
      <w:pPr>
        <w:keepNext/>
        <w:spacing w:before="20" w:after="0" w:line="240" w:lineRule="auto"/>
      </w:pPr>
      <w:r>
        <w:rPr>
          <w:rFonts w:ascii="Calibri" w:hAnsi="Calibri" w:cs="Calibri"/>
          <w:b w:val="0"/>
          <w:i/>
          <w:color w:val="4F46E5"/>
          <w:sz w:val="18"/>
        </w:rPr>
        <w:t>Lead product for provider groups (clinics, billing offices, EMR vendors) submitting invoices, treatment requests, and clinical forms. Success is adoption and cost-to-serve, not features shipped.</w:t>
      </w:r>
    </w:p>
    <w:p>
      <w:pPr>
        <w:keepNext/>
        <w:spacing w:before="40" w:after="0" w:line="240" w:lineRule="auto"/>
      </w:pPr>
      <w:r>
        <w:rPr>
          <w:rFonts w:ascii="Calibri" w:hAnsi="Calibri" w:cs="Calibri"/>
          <w:b w:val="0"/>
          <w:i/>
          <w:color w:val="4F46E5"/>
          <w:sz w:val="18"/>
        </w:rPr>
        <w:t>Provider demos, onboarding, and discovery</w:t>
      </w:r>
    </w:p>
    <w:p>
      <w:pPr>
        <w:pStyle w:val="ListBullet"/>
        <w:spacing w:before="0" w:after="0" w:line="240" w:lineRule="auto"/>
        <w:ind w:left="288" w:hanging="202"/>
      </w:pPr>
      <w:r>
        <w:rPr>
          <w:rFonts w:ascii="Calibri" w:hAnsi="Calibri" w:cs="Calibri"/>
          <w:b w:val="0"/>
          <w:i w:val="0"/>
          <w:color w:val="44403C"/>
          <w:sz w:val="19"/>
        </w:rPr>
        <w:t>Ran discovery sessions and gave feature and rollout demos to provider groups across invoice submission, treatment extension requests, and EMR integration, then handled onboarding and troubleshooting. What providers hit became roadmap fixes: the missing duplicate-line control, payee-number errors, and in-product validation.</w:t>
      </w:r>
    </w:p>
    <w:p>
      <w:pPr>
        <w:pStyle w:val="ListBullet"/>
        <w:spacing w:before="0" w:after="0" w:line="240" w:lineRule="auto"/>
        <w:ind w:left="288" w:hanging="202"/>
      </w:pPr>
      <w:r>
        <w:rPr>
          <w:rFonts w:ascii="Calibri" w:hAnsi="Calibri" w:cs="Calibri"/>
          <w:b w:val="0"/>
          <w:i w:val="0"/>
          <w:color w:val="44403C"/>
          <w:sz w:val="19"/>
        </w:rPr>
        <w:t>Grounded the EMR work in 15 physician interviews and physiotherapist focus groups, so the roadmap came from how providers actually work, not from internal assumptions.</w:t>
      </w:r>
    </w:p>
    <w:p>
      <w:pPr>
        <w:keepNext/>
        <w:spacing w:before="40" w:after="0" w:line="240" w:lineRule="auto"/>
      </w:pPr>
      <w:r>
        <w:rPr>
          <w:rFonts w:ascii="Calibri" w:hAnsi="Calibri" w:cs="Calibri"/>
          <w:b w:val="0"/>
          <w:i/>
          <w:color w:val="4F46E5"/>
          <w:sz w:val="18"/>
        </w:rPr>
        <w:t>Account growth and cost-to-serve</w:t>
      </w:r>
    </w:p>
    <w:p>
      <w:pPr>
        <w:pStyle w:val="ListBullet"/>
        <w:spacing w:before="0" w:after="0" w:line="240" w:lineRule="auto"/>
        <w:ind w:left="288" w:hanging="202"/>
      </w:pPr>
      <w:r>
        <w:rPr>
          <w:rFonts w:ascii="Calibri" w:hAnsi="Calibri" w:cs="Calibri"/>
          <w:b w:val="0"/>
          <w:i w:val="0"/>
          <w:color w:val="44403C"/>
          <w:sz w:val="19"/>
        </w:rPr>
        <w:t>25 of 3,795 organizations drove half of remaining paper (~280K of 3.7M lines). The portal was built for 3 claims a week, so I rebuilt the flow for high-volume billers: multi-claim submit, 11 steps → 5. Portal share 39% → 55%, paper 56% → 19%, about 60% digital in six months, support calls −30%, NPS +25, about $200K saved.</w:t>
      </w:r>
    </w:p>
    <w:p>
      <w:pPr>
        <w:pStyle w:val="ListBullet"/>
        <w:spacing w:before="0" w:after="0" w:line="240" w:lineRule="auto"/>
        <w:ind w:left="288" w:hanging="202"/>
      </w:pPr>
      <w:r>
        <w:rPr>
          <w:rFonts w:ascii="Calibri" w:hAnsi="Calibri" w:cs="Calibri"/>
          <w:b w:val="0"/>
          <w:i w:val="0"/>
          <w:color w:val="44403C"/>
          <w:sz w:val="19"/>
        </w:rPr>
        <w:t>Built the business case behind $580K in executive funding to scale to this segment, and $80K from the Innovation Council for the EMR proof of concept. Early processing savings of about $50K arrived as cohorts moved.</w:t>
      </w:r>
    </w:p>
    <w:p>
      <w:pPr>
        <w:keepNext/>
        <w:spacing w:before="40" w:after="0" w:line="240" w:lineRule="auto"/>
      </w:pPr>
      <w:r>
        <w:rPr>
          <w:rFonts w:ascii="Calibri" w:hAnsi="Calibri" w:cs="Calibri"/>
          <w:b w:val="0"/>
          <w:i/>
          <w:color w:val="4F46E5"/>
          <w:sz w:val="18"/>
        </w:rPr>
        <w:t>Implementation tradeoffs I walked providers and executives through</w:t>
      </w:r>
    </w:p>
    <w:p>
      <w:pPr>
        <w:pStyle w:val="ListBullet"/>
        <w:spacing w:before="0" w:after="0" w:line="240" w:lineRule="auto"/>
        <w:ind w:left="288" w:hanging="202"/>
      </w:pPr>
      <w:r>
        <w:rPr>
          <w:rFonts w:ascii="Calibri" w:hAnsi="Calibri" w:cs="Calibri"/>
          <w:b w:val="0"/>
          <w:i w:val="0"/>
          <w:color w:val="44403C"/>
          <w:sz w:val="19"/>
        </w:rPr>
        <w:t>Staged, named-cohort launch (dark → soft → full) over a big-bang cutover. Accepted two versions running in parallel and slower broad activation so 322K existing digital lines a year stayed live. When first-month adoption stalled, the cause was a hidden control, so I fixed discoverability rather than scope.</w:t>
      </w:r>
    </w:p>
    <w:p>
      <w:pPr>
        <w:pStyle w:val="ListBullet"/>
        <w:spacing w:before="0" w:after="0" w:line="240" w:lineRule="auto"/>
        <w:ind w:left="288" w:hanging="202"/>
      </w:pPr>
      <w:r>
        <w:rPr>
          <w:rFonts w:ascii="Calibri" w:hAnsi="Calibri" w:cs="Calibri"/>
          <w:b w:val="0"/>
          <w:i w:val="0"/>
          <w:color w:val="44403C"/>
          <w:sz w:val="19"/>
        </w:rPr>
        <w:t>Treatment extensions: shipped provider features first for early feedback and an incident buffer, ahead of case-manager decision rationale. Cut the stuck-request alert (most requests resolve within 3 days) and a body-map input (providers preferred text) to launch sooner.</w:t>
      </w:r>
    </w:p>
    <w:p>
      <w:pPr>
        <w:pStyle w:val="ListBullet"/>
        <w:spacing w:before="0" w:after="0" w:line="240" w:lineRule="auto"/>
        <w:ind w:left="288" w:hanging="202"/>
      </w:pPr>
      <w:r>
        <w:rPr>
          <w:rFonts w:ascii="Calibri" w:hAnsi="Calibri" w:cs="Calibri"/>
          <w:b w:val="0"/>
          <w:i w:val="0"/>
          <w:color w:val="44403C"/>
          <w:sz w:val="19"/>
        </w:rPr>
        <w:t>EMR integration: chose a direct API inside the EMR over a portal, because physicians would not leave their system of record. Started with open-source OSCAR (~1,200 BC physicians) before paid vendors; JSON for speed with FHIR as the upgrade path. POC validated March 2025; roadmap covers ~70% of the ecosystem.</w:t>
      </w:r>
    </w:p>
    <w:p>
      <w:pPr>
        <w:keepNext/>
        <w:spacing w:before="40" w:after="0" w:line="240" w:lineRule="auto"/>
      </w:pPr>
      <w:r>
        <w:rPr>
          <w:rFonts w:ascii="Calibri" w:hAnsi="Calibri" w:cs="Calibri"/>
          <w:b w:val="0"/>
          <w:i/>
          <w:color w:val="4F46E5"/>
          <w:sz w:val="18"/>
        </w:rPr>
        <w:t>Healthcare economics and judgment</w:t>
      </w:r>
    </w:p>
    <w:p>
      <w:pPr>
        <w:pStyle w:val="ListBullet"/>
        <w:spacing w:before="0" w:after="0" w:line="240" w:lineRule="auto"/>
        <w:ind w:left="288" w:hanging="202"/>
      </w:pPr>
      <w:r>
        <w:rPr>
          <w:rFonts w:ascii="Calibri" w:hAnsi="Calibri" w:cs="Calibri"/>
          <w:b w:val="0"/>
          <w:i w:val="0"/>
          <w:color w:val="44403C"/>
          <w:sz w:val="19"/>
        </w:rPr>
        <w:t>Physiotherapy is $80M of WorkSafeBC's $500M spend. Reviewed 139K historical extension requests: 79% were always approved, which could mean skimming, not waste. Rejected auto-approve, kept clinical review, and shipped request tracking, decision rationale, and notification email so providers stopped phoning for status.</w:t>
      </w:r>
    </w:p>
    <w:p>
      <w:pPr>
        <w:pStyle w:val="ListBullet"/>
        <w:spacing w:before="0" w:after="0" w:line="240" w:lineRule="auto"/>
        <w:ind w:left="288" w:hanging="202"/>
      </w:pPr>
      <w:r>
        <w:rPr>
          <w:rFonts w:ascii="Calibri" w:hAnsi="Calibri" w:cs="Calibri"/>
          <w:b w:val="0"/>
          <w:i w:val="0"/>
          <w:color w:val="44403C"/>
          <w:sz w:val="19"/>
        </w:rPr>
        <w:t>Faxed clinical forms cost about $250K a year to re-key (52,000 faxes, 28 million keystrokes), driven by a 2001 billing spec. Decoupled clinical reporting from billing so form content could change again.</w:t>
      </w:r>
    </w:p>
    <w:p>
      <w:pPr>
        <w:keepNext/>
        <w:spacing w:before="40" w:after="0" w:line="240" w:lineRule="auto"/>
      </w:pPr>
      <w:r>
        <w:rPr>
          <w:rFonts w:ascii="Calibri" w:hAnsi="Calibri" w:cs="Calibri"/>
          <w:b w:val="0"/>
          <w:i/>
          <w:color w:val="4F46E5"/>
          <w:sz w:val="18"/>
        </w:rPr>
        <w:t>Playbooks and rollout</w:t>
      </w:r>
    </w:p>
    <w:p>
      <w:pPr>
        <w:pStyle w:val="ListBullet"/>
        <w:spacing w:before="0" w:after="0" w:line="240" w:lineRule="auto"/>
        <w:ind w:left="288" w:hanging="202"/>
      </w:pPr>
      <w:r>
        <w:rPr>
          <w:rFonts w:ascii="Calibri" w:hAnsi="Calibri" w:cs="Calibri"/>
          <w:b w:val="0"/>
          <w:i w:val="0"/>
          <w:color w:val="44403C"/>
          <w:sz w:val="19"/>
        </w:rPr>
        <w:t>Moved 5,600 clinicians across 500 organizations (62,000+ annual referrals) with a change plan, in-product banners, administrator email, and a 28-day rollout. Zero downtime; 100% of active accounts moved on deadline. The constraint was behavior (emails not on file), not the identity stack.</w:t>
      </w:r>
    </w:p>
    <w:p>
      <w:pPr>
        <w:pStyle w:val="ListBullet"/>
        <w:spacing w:before="0" w:after="0" w:line="240" w:lineRule="auto"/>
        <w:ind w:left="288" w:hanging="202"/>
      </w:pPr>
      <w:r>
        <w:rPr>
          <w:rFonts w:ascii="Calibri" w:hAnsi="Calibri" w:cs="Calibri"/>
          <w:b w:val="0"/>
          <w:i w:val="0"/>
          <w:color w:val="44403C"/>
          <w:sz w:val="19"/>
        </w:rPr>
        <w:t>Instrumented PostHog before launch (conversion, drop-off, segment) so every cohort had a baseline. Built an LLM/RAG prototype that surfaces evidence across 20–75 documents per case, with traces so humans make the decision. 2nd of 36 at InnoFest 2025.</w:t>
      </w:r>
    </w:p>
    <w:p>
      <w:pPr>
        <w:keepNext/>
        <w:spacing w:before="60" w:after="0" w:line="240" w:lineRule="auto"/>
      </w:pPr>
      <w:r>
        <w:rPr>
          <w:rFonts w:ascii="Calibri" w:hAnsi="Calibri" w:cs="Calibri"/>
          <w:b/>
          <w:i w:val="0"/>
          <w:color w:val="1C1917"/>
          <w:sz w:val="21"/>
        </w:rPr>
        <w:t>Product Manager (promoted from Business Analyst)  |  Technical Safety BC</w:t>
      </w:r>
      <w:r>
        <w:rPr>
          <w:rFonts w:ascii="Calibri" w:hAnsi="Calibri" w:cs="Calibri"/>
          <w:b w:val="0"/>
          <w:i w:val="0"/>
          <w:color w:val="78716C"/>
          <w:sz w:val="18"/>
        </w:rPr>
        <w:t xml:space="preserve">    Oct 2021 – Apr 2024</w:t>
      </w:r>
    </w:p>
    <w:p>
      <w:pPr>
        <w:keepNext/>
        <w:spacing w:before="20" w:after="0" w:line="240" w:lineRule="auto"/>
      </w:pPr>
      <w:r>
        <w:rPr>
          <w:rFonts w:ascii="Calibri" w:hAnsi="Calibri" w:cs="Calibri"/>
          <w:b w:val="0"/>
          <w:i/>
          <w:color w:val="4F46E5"/>
          <w:sz w:val="18"/>
        </w:rPr>
        <w:t>Customer retention, lifetime value, and reactivation</w:t>
      </w:r>
    </w:p>
    <w:p>
      <w:pPr>
        <w:pStyle w:val="ListBullet"/>
        <w:spacing w:before="0" w:after="0" w:line="240" w:lineRule="auto"/>
        <w:ind w:left="288" w:hanging="202"/>
      </w:pPr>
      <w:r>
        <w:rPr>
          <w:rFonts w:ascii="Calibri" w:hAnsi="Calibri" w:cs="Calibri"/>
          <w:b w:val="0"/>
          <w:i w:val="0"/>
          <w:color w:val="44403C"/>
          <w:sz w:val="19"/>
        </w:rPr>
        <w:t>Built the operating-permit view for about 102,000 active permits: 1.9% net churn, and average revenue and permit lifetime value by industry and work class (Energy Utility about $7,400 per permit). Separated preventable churn from unpreventable (4.4%) so the team acted on gains it could win.</w:t>
      </w:r>
    </w:p>
    <w:p>
      <w:pPr>
        <w:pStyle w:val="ListBullet"/>
        <w:spacing w:before="0" w:after="0" w:line="240" w:lineRule="auto"/>
        <w:ind w:left="288" w:hanging="202"/>
      </w:pPr>
      <w:r>
        <w:rPr>
          <w:rFonts w:ascii="Calibri" w:hAnsi="Calibri" w:cs="Calibri"/>
          <w:b w:val="0"/>
          <w:i w:val="0"/>
          <w:color w:val="44403C"/>
          <w:sz w:val="19"/>
        </w:rPr>
        <w:t>RFM outreach versus the existing call strategy over the same two weeks, measures set first: $45,742 collected versus $25,597 (78% more). Reactivated expired permits (135 clients, about CAD 46.7K) with a three-step sequence; 23% paid from the first email.</w:t>
      </w:r>
    </w:p>
    <w:p>
      <w:pPr>
        <w:pStyle w:val="ListBullet"/>
        <w:spacing w:before="0" w:after="0" w:line="240" w:lineRule="auto"/>
        <w:ind w:left="288" w:hanging="202"/>
      </w:pPr>
      <w:r>
        <w:rPr>
          <w:rFonts w:ascii="Calibri" w:hAnsi="Calibri" w:cs="Calibri"/>
          <w:b w:val="0"/>
          <w:i w:val="0"/>
          <w:color w:val="44403C"/>
          <w:sz w:val="19"/>
        </w:rPr>
        <w:t>Shipped NLP email classification into a live routing workflow to triage incoming requests. Led discovery for a mobile inspection platform through customer interviews, workflow mapping, and usability testing.</w:t>
      </w:r>
    </w:p>
    <w:p>
      <w:pPr>
        <w:keepNext/>
        <w:spacing w:before="60" w:after="0" w:line="240" w:lineRule="auto"/>
      </w:pPr>
      <w:r>
        <w:rPr>
          <w:rFonts w:ascii="Calibri" w:hAnsi="Calibri" w:cs="Calibri"/>
          <w:b/>
          <w:i w:val="0"/>
          <w:color w:val="1C1917"/>
          <w:sz w:val="21"/>
        </w:rPr>
        <w:t>Strategy Consultant  |  180 Degrees Consulting — University of British Columbia</w:t>
      </w:r>
      <w:r>
        <w:rPr>
          <w:rFonts w:ascii="Calibri" w:hAnsi="Calibri" w:cs="Calibri"/>
          <w:b w:val="0"/>
          <w:i w:val="0"/>
          <w:color w:val="78716C"/>
          <w:sz w:val="18"/>
        </w:rPr>
        <w:t xml:space="preserve">    Sep 2020 – Oct 2021</w:t>
      </w:r>
    </w:p>
    <w:p>
      <w:pPr>
        <w:pStyle w:val="ListBullet"/>
        <w:spacing w:before="0" w:after="0" w:line="240" w:lineRule="auto"/>
        <w:ind w:left="288" w:hanging="202"/>
      </w:pPr>
      <w:r>
        <w:rPr>
          <w:rFonts w:ascii="Calibri" w:hAnsi="Calibri" w:cs="Calibri"/>
          <w:b w:val="0"/>
          <w:i w:val="0"/>
          <w:color w:val="44403C"/>
          <w:sz w:val="19"/>
        </w:rPr>
        <w:t>Built product and market strategies for nonprofit and clean energy clients. Designed a consumer conversion journey for Open Primaries that cut bounce rate 37% and doubled subscriptions.</w:t>
      </w:r>
    </w:p>
    <w:p>
      <w:pPr>
        <w:keepNext/>
        <w:spacing w:before="60" w:after="0" w:line="240" w:lineRule="auto"/>
      </w:pPr>
      <w:r>
        <w:rPr>
          <w:rFonts w:ascii="Calibri" w:hAnsi="Calibri" w:cs="Calibri"/>
          <w:b/>
          <w:i w:val="0"/>
          <w:color w:val="1C1917"/>
          <w:sz w:val="21"/>
        </w:rPr>
        <w:t>SEO Consultant — Consumer Growth  |  Convertus</w:t>
      </w:r>
      <w:r>
        <w:rPr>
          <w:rFonts w:ascii="Calibri" w:hAnsi="Calibri" w:cs="Calibri"/>
          <w:b w:val="0"/>
          <w:i w:val="0"/>
          <w:color w:val="78716C"/>
          <w:sz w:val="18"/>
        </w:rPr>
        <w:t xml:space="preserve">    May 2018 – Jul 2019</w:t>
      </w:r>
    </w:p>
    <w:p>
      <w:pPr>
        <w:pStyle w:val="ListBullet"/>
        <w:spacing w:before="0" w:after="0" w:line="240" w:lineRule="auto"/>
        <w:ind w:left="288" w:hanging="202"/>
      </w:pPr>
      <w:r>
        <w:rPr>
          <w:rFonts w:ascii="Calibri" w:hAnsi="Calibri" w:cs="Calibri"/>
          <w:b w:val="0"/>
          <w:i w:val="0"/>
          <w:color w:val="44403C"/>
          <w:sz w:val="19"/>
        </w:rPr>
        <w:t>Built acquisition and analytics for 75+ client websites, increasing organic performance by about 150%.</w:t>
      </w:r>
    </w:p>
    <w:p>
      <w:pPr>
        <w:keepNext/>
        <w:spacing w:before="20" w:after="20" w:line="240" w:lineRule="auto"/>
        <w:pBdr>
          <w:bottom w:val="single" w:sz="6" w:space="1" w:color="6D28D9"/>
        </w:pBdr>
      </w:pPr>
    </w:p>
    <w:p>
      <w:pPr>
        <w:keepNext/>
        <w:spacing w:before="40" w:after="0" w:line="240" w:lineRule="auto"/>
      </w:pPr>
      <w:r>
        <w:rPr>
          <w:rFonts w:ascii="Calibri" w:hAnsi="Calibri" w:cs="Calibri"/>
          <w:b/>
          <w:i w:val="0"/>
          <w:color w:val="6D28D9"/>
          <w:sz w:val="21"/>
        </w:rPr>
        <w:t>EDUCATION</w:t>
      </w:r>
    </w:p>
    <w:p>
      <w:pPr>
        <w:keepNext/>
        <w:spacing w:before="60" w:after="0" w:line="240" w:lineRule="auto"/>
      </w:pPr>
      <w:r>
        <w:rPr>
          <w:rFonts w:ascii="Calibri" w:hAnsi="Calibri" w:cs="Calibri"/>
          <w:b/>
          <w:i w:val="0"/>
          <w:color w:val="1C1917"/>
          <w:sz w:val="21"/>
        </w:rPr>
        <w:t>Master of Business Analytics  |  University of British Columbia</w:t>
      </w:r>
    </w:p>
    <w:p>
      <w:pPr>
        <w:spacing w:before="0" w:after="0" w:line="240" w:lineRule="auto"/>
      </w:pPr>
      <w:r>
        <w:rPr>
          <w:rFonts w:ascii="Calibri" w:hAnsi="Calibri" w:cs="Calibri"/>
          <w:b w:val="0"/>
          <w:i w:val="0"/>
          <w:color w:val="78716C"/>
          <w:sz w:val="18"/>
        </w:rPr>
        <w:t>Customer lifetime value  •  Gains charts  •  Python  •  SQL  •  R</w:t>
      </w:r>
    </w:p>
    <w:p>
      <w:pPr>
        <w:keepNext/>
        <w:spacing w:before="60" w:after="0" w:line="240" w:lineRule="auto"/>
      </w:pPr>
      <w:r>
        <w:rPr>
          <w:rFonts w:ascii="Calibri" w:hAnsi="Calibri" w:cs="Calibri"/>
          <w:b/>
          <w:i w:val="0"/>
          <w:color w:val="1C1917"/>
          <w:sz w:val="21"/>
        </w:rPr>
        <w:t>Bachelor of Business Administration (Marketing)  |  British Columbia Institute of Technology</w:t>
      </w:r>
    </w:p>
    <w:p>
      <w:pPr>
        <w:keepNext/>
        <w:spacing w:before="40" w:after="0" w:line="240" w:lineRule="auto"/>
      </w:pPr>
      <w:r>
        <w:rPr>
          <w:rFonts w:ascii="Calibri" w:hAnsi="Calibri" w:cs="Calibri"/>
          <w:b/>
          <w:i w:val="0"/>
          <w:color w:val="6D28D9"/>
          <w:sz w:val="21"/>
        </w:rPr>
        <w:t>LEADERSHIP</w:t>
      </w:r>
    </w:p>
    <w:p>
      <w:pPr>
        <w:spacing w:before="0" w:after="20" w:line="240" w:lineRule="auto"/>
      </w:pPr>
      <w:r>
        <w:rPr>
          <w:rFonts w:ascii="Calibri" w:hAnsi="Calibri" w:cs="Calibri"/>
          <w:b w:val="0"/>
          <w:i w:val="0"/>
          <w:color w:val="44403C"/>
          <w:sz w:val="18"/>
        </w:rPr>
        <w:t>Speaker, ProductCamp BC (2025). Mentor, ProductBC — product discovery, strategy, and career development.</w:t>
      </w:r>
    </w:p>
    <w:p>
      <w:pPr>
        <w:keepNext/>
        <w:spacing w:before="20" w:after="20" w:line="240" w:lineRule="auto"/>
        <w:pBdr>
          <w:bottom w:val="single" w:sz="6" w:space="1" w:color="6D28D9"/>
        </w:pBdr>
      </w:pPr>
    </w:p>
    <w:p>
      <w:pPr>
        <w:keepNext/>
        <w:spacing w:before="40" w:after="0" w:line="240" w:lineRule="auto"/>
      </w:pPr>
      <w:r>
        <w:rPr>
          <w:rFonts w:ascii="Calibri" w:hAnsi="Calibri" w:cs="Calibri"/>
          <w:b/>
          <w:i w:val="0"/>
          <w:color w:val="6D28D9"/>
          <w:sz w:val="21"/>
        </w:rPr>
        <w:t>SKILLS</w:t>
      </w:r>
    </w:p>
    <w:p>
      <w:pPr>
        <w:spacing w:before="0" w:after="0" w:line="240" w:lineRule="auto"/>
      </w:pPr>
      <w:r>
        <w:rPr>
          <w:rFonts w:ascii="Calibri" w:hAnsi="Calibri" w:cs="Calibri"/>
          <w:b/>
          <w:i w:val="0"/>
          <w:color w:val="5B21B6"/>
          <w:sz w:val="18"/>
        </w:rPr>
        <w:t xml:space="preserve">Customer &amp; implementation:  </w:t>
      </w:r>
      <w:r>
        <w:rPr>
          <w:rFonts w:ascii="Calibri" w:hAnsi="Calibri" w:cs="Calibri"/>
          <w:b w:val="0"/>
          <w:i w:val="0"/>
          <w:color w:val="44403C"/>
          <w:sz w:val="18"/>
        </w:rPr>
        <w:t>Provider demos  •  Discovery  •  Onboarding  •  Troubleshooting  •  Change management  •  Staged launches  •  Account growth</w:t>
      </w:r>
    </w:p>
    <w:p>
      <w:pPr>
        <w:spacing w:before="0" w:after="0" w:line="240" w:lineRule="auto"/>
      </w:pPr>
      <w:r>
        <w:rPr>
          <w:rFonts w:ascii="Calibri" w:hAnsi="Calibri" w:cs="Calibri"/>
          <w:b/>
          <w:i w:val="0"/>
          <w:color w:val="5B21B6"/>
          <w:sz w:val="18"/>
        </w:rPr>
        <w:t xml:space="preserve">Data &amp; economics:  </w:t>
      </w:r>
      <w:r>
        <w:rPr>
          <w:rFonts w:ascii="Calibri" w:hAnsi="Calibri" w:cs="Calibri"/>
          <w:b w:val="0"/>
          <w:i w:val="0"/>
          <w:color w:val="44403C"/>
          <w:sz w:val="18"/>
        </w:rPr>
        <w:t>SQL  •  Python  •  R  •  Funnel and cohort analysis  •  Segmentation  •  RFM  •  Lifetime value  •  Business cases  •  PostHog</w:t>
      </w:r>
    </w:p>
    <w:p>
      <w:pPr>
        <w:spacing w:before="0" w:after="0" w:line="240" w:lineRule="auto"/>
      </w:pPr>
      <w:r>
        <w:rPr>
          <w:rFonts w:ascii="Calibri" w:hAnsi="Calibri" w:cs="Calibri"/>
          <w:b/>
          <w:i w:val="0"/>
          <w:color w:val="5B21B6"/>
          <w:sz w:val="18"/>
        </w:rPr>
        <w:t xml:space="preserve">Technical &amp; AI:  </w:t>
      </w:r>
      <w:r>
        <w:rPr>
          <w:rFonts w:ascii="Calibri" w:hAnsi="Calibri" w:cs="Calibri"/>
          <w:b w:val="0"/>
          <w:i w:val="0"/>
          <w:color w:val="44403C"/>
          <w:sz w:val="18"/>
        </w:rPr>
        <w:t>REST APIs  •  FHIR / JSON  •  EMR integration  •  LLM / RAG prototyping  •  Human-in-the-loop design  •  NLP (shipped)  •  Lovable  •  n8n</w:t>
      </w:r>
    </w:p>
    <w:p>
      <w:pPr>
        <w:spacing w:before="0" w:after="0" w:line="240" w:lineRule="auto"/>
      </w:pPr>
      <w:r>
        <w:rPr>
          <w:rFonts w:ascii="Calibri" w:hAnsi="Calibri" w:cs="Calibri"/>
          <w:b/>
          <w:i w:val="0"/>
          <w:color w:val="5B21B6"/>
          <w:sz w:val="18"/>
        </w:rPr>
        <w:t xml:space="preserve">Partners:  </w:t>
      </w:r>
      <w:r>
        <w:rPr>
          <w:rFonts w:ascii="Calibri" w:hAnsi="Calibri" w:cs="Calibri"/>
          <w:b w:val="0"/>
          <w:i w:val="0"/>
          <w:color w:val="44403C"/>
          <w:sz w:val="18"/>
        </w:rPr>
        <w:t>Clinical operations  •  Engineering  •  Design  •  Communications  •  Executives</w:t>
      </w:r>
    </w:p>
    <w:sectPr w:rsidR="00FC693F" w:rsidRPr="0006063C" w:rsidSect="00034616">
      <w:pgSz w:w="12240" w:h="15840"/>
      <w:pgMar w:top="567" w:right="850" w:bottom="482"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cs="Calibri"/>
      <w:color w:val="444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github.com/kdodani" TargetMode="External"/><Relationship Id="rId11"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