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9F6"/>
  <w:body>
    <w:p>
      <w:pPr>
        <w:spacing w:before="0" w:after="20"/>
        <w:jc w:val="center"/>
      </w:pPr>
      <w:r>
        <w:rPr>
          <w:b/>
          <w:color w:val="1C1917"/>
          <w:sz w:val="36"/>
        </w:rPr>
        <w:t>KHUSHBOO DODANI</w:t>
      </w:r>
    </w:p>
    <w:p>
      <w:pPr>
        <w:spacing w:before="0" w:after="40"/>
        <w:jc w:val="center"/>
      </w:pPr>
      <w:r>
        <w:rPr>
          <w:color w:val="78716C"/>
          <w:sz w:val="18"/>
        </w:rPr>
        <w:t xml:space="preserve">Relocating to New York City  |  khushdodani@gmail.com  |  </w:t>
      </w:r>
      <w:hyperlink r:id="rId9">
        <w:r>
          <w:rPr>
            <w:color w:val="78716C"/>
            <w:sz w:val="18"/>
            <w:szCs w:val="18"/>
            <w:u w:val="single"/>
          </w:rPr>
          <w:t xml:space="preserve">LinkedIn</w:t>
        </w:r>
      </w:hyperlink>
      <w:r>
        <w:rPr>
          <w:color w:val="78716C"/>
          <w:sz w:val="18"/>
        </w:rPr>
        <w:t xml:space="preserve">  |  </w:t>
      </w:r>
      <w:hyperlink r:id="rId10">
        <w:r>
          <w:rPr>
            <w:color w:val="78716C"/>
            <w:sz w:val="18"/>
            <w:szCs w:val="18"/>
            <w:u w:val="single"/>
          </w:rPr>
          <w:t xml:space="preserve">GitHub</w:t>
        </w:r>
      </w:hyperlink>
      <w:r>
        <w:rPr>
          <w:color w:val="78716C"/>
          <w:sz w:val="18"/>
        </w:rPr>
        <w:t xml:space="preserve">  |  </w:t>
      </w:r>
      <w:hyperlink r:id="rId11">
        <w:r>
          <w:rPr>
            <w:color w:val="78716C"/>
            <w:sz w:val="18"/>
            <w:szCs w:val="18"/>
            <w:u w:val="single"/>
          </w:rPr>
          <w:t xml:space="preserve">Portfolio</w:t>
        </w:r>
      </w:hyperlink>
    </w:p>
    <w:p>
      <w:pPr>
        <w:spacing w:before="40" w:after="40"/>
        <w:jc w:val="center"/>
      </w:pPr>
      <w:r>
        <w:rPr>
          <w:b/>
          <w:color w:val="6D28D9"/>
          <w:sz w:val="24"/>
        </w:rPr>
        <w:t>PRODUCT MANAGER — HEALTHCARE VALUE</w:t>
      </w:r>
    </w:p>
    <w:p>
      <w:pPr>
        <w:spacing w:before="20" w:after="40"/>
        <w:jc w:val="center"/>
      </w:pPr>
      <w:r>
        <w:rPr>
          <w:color w:val="5B21B6"/>
          <w:sz w:val="18"/>
        </w:rPr>
        <w:t>Value Realization  •  Client-Facing Advisory  •  Healthcare + AI  •  Enterprise Adoption</w:t>
      </w:r>
    </w:p>
    <w:p>
      <w:pPr>
        <w:spacing w:before="20" w:after="20"/>
        <w:pBdr>
          <w:bottom w:val="single" w:sz="6" w:space="1" w:color="6D28D9"/>
        </w:pBdr>
      </w:pPr>
    </w:p>
    <w:p>
      <w:pPr>
        <w:spacing w:before="40" w:after="40"/>
      </w:pPr>
      <w:r>
        <w:rPr>
          <w:i w:val="0"/>
          <w:color w:val="44403C"/>
          <w:sz w:val="18"/>
        </w:rPr>
        <w:t>Product Manager with 4+ years in healthcare and 7+ years working in client-facing and advisory roles across digital products, analytics, and operations. Experienced partnering with clinical, operational, and executive stakeholders to shape investment decisions, improve system performance, and drive measurable outcomes from technology initiatives. Proven ability to connect product and platform investments to business impact including cost savings, adoption growth, and workflow efficiency in complex, regulated environments.</w:t>
      </w:r>
    </w:p>
    <w:p>
      <w:pPr>
        <w:spacing w:before="20" w:after="20"/>
        <w:pBdr>
          <w:bottom w:val="single" w:sz="6" w:space="1" w:color="6D28D9"/>
        </w:pBdr>
      </w:pPr>
    </w:p>
    <w:p>
      <w:pPr>
        <w:keepNext/>
        <w:spacing w:before="60" w:after="20"/>
      </w:pPr>
      <w:r>
        <w:rPr>
          <w:b/>
          <w:color w:val="6D28D9"/>
          <w:sz w:val="21"/>
        </w:rPr>
        <w:t>EXPERIENCE</w:t>
      </w:r>
    </w:p>
    <w:p>
      <w:pPr>
        <w:keepNext/>
        <w:spacing w:before="40" w:after="0"/>
      </w:pPr>
      <w:r>
        <w:rPr>
          <w:b/>
          <w:color w:val="1C1917"/>
          <w:sz w:val="20"/>
        </w:rPr>
        <w:t>Product Manager &amp; Strategic Advisor (Consulting Engagement)  |  WorkSafeBC</w:t>
      </w:r>
      <w:r>
        <w:rPr>
          <w:b w:val="0"/>
          <w:color w:val="78716C"/>
          <w:sz w:val="18"/>
        </w:rPr>
        <w:t xml:space="preserve">    Apr 2024 – Present</w:t>
      </w:r>
    </w:p>
    <w:p>
      <w:pPr>
        <w:pStyle w:val="ListBullet"/>
        <w:spacing w:before="0" w:after="0" w:line="240" w:lineRule="auto"/>
        <w:ind w:left="576" w:hanging="288"/>
      </w:pPr>
      <w:r>
        <w:rPr>
          <w:color w:val="44403C"/>
          <w:sz w:val="18"/>
        </w:rPr>
        <w:t>Engaged as an external product and strategy consultant through an independent practice to lead high-priority healthcare platform initiatives, working directly with leadership to improve adoption, operational efficiency, and ROI from digital investments.</w:t>
      </w:r>
    </w:p>
    <w:p>
      <w:pPr>
        <w:keepNext/>
        <w:spacing w:before="0" w:after="20"/>
      </w:pPr>
      <w:r>
        <w:rPr>
          <w:b w:val="0"/>
          <w:i/>
          <w:color w:val="4F46E5"/>
          <w:sz w:val="18"/>
        </w:rPr>
        <w:t>Value realization — outcomes after the investment</w:t>
      </w:r>
    </w:p>
    <w:p>
      <w:pPr>
        <w:pStyle w:val="ListBullet"/>
        <w:spacing w:before="0" w:after="0" w:line="240" w:lineRule="auto"/>
        <w:ind w:left="576" w:hanging="288"/>
      </w:pPr>
      <w:r>
        <w:rPr>
          <w:color w:val="44403C"/>
          <w:sz w:val="18"/>
        </w:rPr>
        <w:t>Rebuilt a stalled clinician workflow (11 screens → 5) on platforms used by 5,600 healthcare professionals across 500 organizations: portal share 39% → 55%; paper 56% → 19%; digital adoption to 60% in six months; ~$200K annual savings. Instrumented PostHog so outcomes were visible within days of launch, then used them to expand use rather than treating go-live as the finish line.</w:t>
      </w:r>
    </w:p>
    <w:p>
      <w:pPr>
        <w:keepNext/>
        <w:spacing w:before="0" w:after="20"/>
      </w:pPr>
      <w:r>
        <w:rPr>
          <w:b w:val="0"/>
          <w:i/>
          <w:color w:val="4F46E5"/>
          <w:sz w:val="18"/>
        </w:rPr>
        <w:t>Executive advisory &amp; value propositions</w:t>
      </w:r>
    </w:p>
    <w:p>
      <w:pPr>
        <w:pStyle w:val="ListBullet"/>
        <w:spacing w:before="0" w:after="0" w:line="240" w:lineRule="auto"/>
        <w:ind w:left="576" w:hanging="288"/>
      </w:pPr>
      <w:r>
        <w:rPr>
          <w:color w:val="44403C"/>
          <w:sz w:val="18"/>
        </w:rPr>
        <w:t>Built and defended business cases unlocking $1.2M+ in executive funding across invoicing, identity, and EMR integrations — presented to an investment committee as a multi-year value path, not a one-time purchase. Analyzed 139K treatment-extension requests and reversed a proposed auto-approve (79% always approved) rather than rubber-stamping an $80M physiotherapy program.</w:t>
      </w:r>
    </w:p>
    <w:p>
      <w:pPr>
        <w:keepNext/>
        <w:spacing w:before="0" w:after="20"/>
      </w:pPr>
      <w:r>
        <w:rPr>
          <w:b w:val="0"/>
          <w:i/>
          <w:color w:val="4F46E5"/>
          <w:sz w:val="18"/>
        </w:rPr>
        <w:t>Named-account strategy, consumption &amp; AI</w:t>
      </w:r>
    </w:p>
    <w:p>
      <w:pPr>
        <w:pStyle w:val="ListBullet"/>
        <w:spacing w:before="0" w:after="0" w:line="240" w:lineRule="auto"/>
        <w:ind w:left="576" w:hanging="288"/>
      </w:pPr>
      <w:r>
        <w:rPr>
          <w:color w:val="44403C"/>
          <w:sz w:val="18"/>
        </w:rPr>
        <w:t>Turned stalled digital adoption into a named-account campaign: 25 of 3,795 organizations generated 50% of remaining paper (~280K line items). Targeted those 25 accounts, then secured $580K to scale consumption across that high-value segment.</w:t>
      </w:r>
    </w:p>
    <w:p>
      <w:pPr>
        <w:pStyle w:val="ListBullet"/>
        <w:spacing w:before="0" w:after="0" w:line="240" w:lineRule="auto"/>
        <w:ind w:left="576" w:hanging="288"/>
      </w:pPr>
      <w:r>
        <w:rPr>
          <w:color w:val="44403C"/>
          <w:sz w:val="18"/>
        </w:rPr>
        <w:t>Led an enterprise-wide identity program for 5,600 providers / 500 organizations (62K+ annual referrals): 0 downtime; 100% of active accounts transitioned. Built Referral Radar (LLM/RAG next-best-referral with human-in-the-loop); made AI approvable to skeptics by drawing that boundary up front. 2nd of 36 at InnoFest 2025.</w:t>
      </w:r>
    </w:p>
    <w:p>
      <w:pPr>
        <w:keepNext/>
        <w:spacing w:before="40" w:after="0"/>
      </w:pPr>
      <w:r>
        <w:rPr>
          <w:b/>
          <w:color w:val="1C1917"/>
          <w:sz w:val="20"/>
        </w:rPr>
        <w:t>Product Manager (promoted from Business Analyst)  |  Technical Safety BC</w:t>
      </w:r>
      <w:r>
        <w:rPr>
          <w:b w:val="0"/>
          <w:color w:val="78716C"/>
          <w:sz w:val="18"/>
        </w:rPr>
        <w:t xml:space="preserve">    Oct 2021 – Apr 2024</w:t>
      </w:r>
    </w:p>
    <w:p>
      <w:pPr>
        <w:pStyle w:val="ListBullet"/>
        <w:spacing w:before="0" w:after="0" w:line="240" w:lineRule="auto"/>
        <w:ind w:left="576" w:hanging="288"/>
      </w:pPr>
      <w:r>
        <w:rPr>
          <w:color w:val="44403C"/>
          <w:sz w:val="18"/>
        </w:rPr>
        <w:t>Influenced leadership decisions with churn and engagement data products identifying 11.7% annual churn; RFM segmentation retained 78% of high-risk customers. Shipped NLP routing to cut manual inbox work; led field discovery for a mobile inspection platform before engineering investment.</w:t>
      </w:r>
    </w:p>
    <w:p>
      <w:pPr>
        <w:keepNext/>
        <w:spacing w:before="40" w:after="0"/>
      </w:pPr>
      <w:r>
        <w:rPr>
          <w:b/>
          <w:color w:val="1C1917"/>
          <w:sz w:val="20"/>
        </w:rPr>
        <w:t>Strategy Consultant  |  180 Degrees Consulting — University of British Columbia</w:t>
      </w:r>
      <w:r>
        <w:rPr>
          <w:b w:val="0"/>
          <w:color w:val="78716C"/>
          <w:sz w:val="18"/>
        </w:rPr>
        <w:t xml:space="preserve">    Sep 2020 – Oct 2021</w:t>
      </w:r>
    </w:p>
    <w:p>
      <w:pPr>
        <w:pStyle w:val="ListBullet"/>
        <w:spacing w:before="0" w:after="0" w:line="240" w:lineRule="auto"/>
        <w:ind w:left="576" w:hanging="288"/>
      </w:pPr>
      <w:r>
        <w:rPr>
          <w:color w:val="44403C"/>
          <w:sz w:val="18"/>
        </w:rPr>
        <w:t>Owned scoped client engagements end to end — research, recommendations, and presentations to client leadership. Designed a growth strategy for Open Primaries that cut bounce rate 37% while doubling subscriptions.</w:t>
      </w:r>
    </w:p>
    <w:p>
      <w:pPr>
        <w:keepNext/>
        <w:spacing w:before="40" w:after="0"/>
      </w:pPr>
      <w:r>
        <w:rPr>
          <w:b/>
          <w:color w:val="1C1917"/>
          <w:sz w:val="20"/>
        </w:rPr>
        <w:t>SEO Consultant  |  Convertus</w:t>
      </w:r>
      <w:r>
        <w:rPr>
          <w:b w:val="0"/>
          <w:color w:val="78716C"/>
          <w:sz w:val="18"/>
        </w:rPr>
        <w:t xml:space="preserve">    May 2018 – Jul 2019</w:t>
      </w:r>
    </w:p>
    <w:p>
      <w:pPr>
        <w:pStyle w:val="ListBullet"/>
        <w:spacing w:before="0" w:after="0" w:line="240" w:lineRule="auto"/>
        <w:ind w:left="576" w:hanging="288"/>
      </w:pPr>
      <w:r>
        <w:rPr>
          <w:color w:val="44403C"/>
          <w:sz w:val="18"/>
        </w:rPr>
        <w:t>Client-facing consulting across 75+ digital properties: analytics-driven growth, ~150% organic lift, and a forecasting model predicting SEO performance with ~85% accuracy.</w:t>
      </w:r>
    </w:p>
    <w:p>
      <w:pPr>
        <w:spacing w:before="20" w:after="20"/>
        <w:pBdr>
          <w:bottom w:val="single" w:sz="6" w:space="1" w:color="6D28D9"/>
        </w:pBdr>
      </w:pPr>
    </w:p>
    <w:p>
      <w:pPr>
        <w:keepNext/>
        <w:spacing w:before="60" w:after="20"/>
      </w:pPr>
      <w:r>
        <w:rPr>
          <w:b/>
          <w:color w:val="6D28D9"/>
          <w:sz w:val="21"/>
        </w:rPr>
        <w:t>EDUCATION</w:t>
      </w:r>
    </w:p>
    <w:p>
      <w:pPr>
        <w:keepNext/>
        <w:spacing w:before="40" w:after="0"/>
      </w:pPr>
      <w:r>
        <w:rPr>
          <w:b/>
          <w:color w:val="1C1917"/>
          <w:sz w:val="20"/>
        </w:rPr>
        <w:t>Master of Business Analytics  |  University of British Columbia</w:t>
      </w:r>
      <w:r>
        <w:rPr>
          <w:b w:val="0"/>
          <w:color w:val="78716C"/>
          <w:sz w:val="18"/>
        </w:rPr>
        <w:t xml:space="preserve">    </w:t>
      </w:r>
    </w:p>
    <w:p>
      <w:pPr>
        <w:keepNext/>
        <w:spacing w:before="40" w:after="0"/>
      </w:pPr>
      <w:r>
        <w:rPr>
          <w:b/>
          <w:color w:val="1C1917"/>
          <w:sz w:val="20"/>
        </w:rPr>
        <w:t>Bachelor of Business Administration (Marketing)  |  British Columbia Institute of Technology</w:t>
      </w:r>
      <w:r>
        <w:rPr>
          <w:b w:val="0"/>
          <w:color w:val="78716C"/>
          <w:sz w:val="18"/>
        </w:rPr>
        <w:t xml:space="preserve">    </w:t>
      </w:r>
    </w:p>
    <w:p>
      <w:pPr>
        <w:keepNext/>
        <w:spacing w:before="60" w:after="20"/>
      </w:pPr>
      <w:r>
        <w:rPr>
          <w:b/>
          <w:color w:val="6D28D9"/>
          <w:sz w:val="21"/>
        </w:rPr>
        <w:t>LEADERSHIP</w:t>
      </w:r>
    </w:p>
    <w:p>
      <w:pPr>
        <w:pStyle w:val="ListBullet"/>
        <w:spacing w:before="0" w:after="0" w:line="240" w:lineRule="auto"/>
        <w:ind w:left="576" w:hanging="288"/>
      </w:pPr>
      <w:r>
        <w:rPr>
          <w:color w:val="44403C"/>
          <w:sz w:val="18"/>
        </w:rPr>
        <w:t>Speaker, ProductCamp BC (2025) — “How Legacy Industries Can Adopt a Product Mindset to Improve Service Delivery.”</w:t>
      </w:r>
    </w:p>
    <w:p>
      <w:pPr>
        <w:keepNext/>
        <w:spacing w:before="60" w:after="20"/>
      </w:pPr>
      <w:r>
        <w:rPr>
          <w:b/>
          <w:color w:val="6D28D9"/>
          <w:sz w:val="21"/>
        </w:rPr>
        <w:t>SKILLS</w:t>
      </w:r>
    </w:p>
    <w:p>
      <w:pPr>
        <w:spacing w:before="0" w:after="20"/>
      </w:pPr>
      <w:r>
        <w:rPr>
          <w:b/>
          <w:color w:val="5B21B6"/>
          <w:sz w:val="18"/>
        </w:rPr>
        <w:t xml:space="preserve">Value &amp; Strategy:  </w:t>
      </w:r>
      <w:r>
        <w:rPr>
          <w:color w:val="44403C"/>
          <w:sz w:val="18"/>
        </w:rPr>
        <w:t>Value Realization  •  Business Cases  •  Outcome Measurement  •  Named-Account Strategy  •  Change Management  •  Executive Presence  •  Influence Without Authority</w:t>
      </w:r>
    </w:p>
    <w:p>
      <w:pPr>
        <w:spacing w:before="0" w:after="20"/>
      </w:pPr>
      <w:r>
        <w:rPr>
          <w:b/>
          <w:color w:val="5B21B6"/>
          <w:sz w:val="18"/>
        </w:rPr>
        <w:t xml:space="preserve">Healthcare &amp; AI:  </w:t>
      </w:r>
      <w:r>
        <w:rPr>
          <w:color w:val="44403C"/>
          <w:sz w:val="18"/>
        </w:rPr>
        <w:t>Provider Operations  •  EHR / EMR  •  Identity (CIAM)  •  SQL  •  Python  •  PostHog  •  LLM / RAG</w:t>
      </w:r>
    </w:p>
    <w:sectPr w:rsidR="00FC693F" w:rsidRPr="0006063C" w:rsidSect="00034616">
      <w:pgSz w:w="12240" w:h="15840"/>
      <w:pgMar w:top="794"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khushdodani" TargetMode="External"/><Relationship Id="rId10" Type="http://schemas.openxmlformats.org/officeDocument/2006/relationships/hyperlink" Target="https://github.com/kdodani" TargetMode="External"/><Relationship Id="rId11" Type="http://schemas.openxmlformats.org/officeDocument/2006/relationships/hyperlink" Target="https://kdodani-portfol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