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b/>
          <w:color w:val="1C1917"/>
          <w:sz w:val="32"/>
        </w:rPr>
        <w:t>adyn Product Experience Teardown</w:t>
      </w:r>
    </w:p>
    <w:p>
      <w:pPr>
        <w:spacing w:before="0" w:after="40"/>
      </w:pPr>
      <w:r>
        <w:rPr>
          <w:i/>
          <w:color w:val="78716C"/>
          <w:sz w:val="17"/>
        </w:rPr>
        <w:t>A first-week look at The Birth Control Test journey, from Khushboo Dodani. Built only from public information (adyn.com, FAQ, customer write-ups, Nurx / Hers / Natural Cycles). These are hypotheses to test, not claims.</w:t>
      </w:r>
    </w:p>
    <w:p>
      <w:pPr>
        <w:spacing w:before="20" w:after="20"/>
        <w:pBdr>
          <w:bottom w:val="single" w:sz="6" w:space="1" w:color="6D28D9"/>
        </w:pBdr>
      </w:pPr>
    </w:p>
    <w:p>
      <w:pPr>
        <w:spacing w:before="40" w:after="40"/>
      </w:pPr>
      <w:r>
        <w:rPr>
          <w:b/>
          <w:color w:val="6D28D9"/>
          <w:sz w:val="20"/>
        </w:rPr>
        <w:t>THE JOURNEY AS PUBLISHED</w:t>
      </w:r>
    </w:p>
    <w:p>
      <w:pPr>
        <w:spacing w:before="0" w:after="40"/>
      </w:pPr>
      <w:r>
        <w:rPr>
          <w:b w:val="0"/>
          <w:color w:val="44403C"/>
          <w:sz w:val="18"/>
        </w:rPr>
        <w:t>Quiz and purchase ($369, no insurance, HSA/FSA accepted)  &gt;  kit arrives in 2-7 days  &gt;  hormone sample must be taken on cycle day 3, saliva DNA any time  &gt;  lab results in 2-6 weeks (avg. 3)  &gt;  online report  &gt;  book a 25-minute provider visit  &gt;  prescription (mail-order option)  &gt;  retest hormones over time.</w:t>
      </w:r>
    </w:p>
    <w:p>
      <w:pPr>
        <w:spacing w:before="0" w:after="40"/>
      </w:pPr>
      <w:r>
        <w:rPr>
          <w:b/>
          <w:color w:val="1C1917"/>
          <w:sz w:val="18"/>
        </w:rPr>
        <w:t xml:space="preserve">Comparators: </w:t>
      </w:r>
      <w:r>
        <w:rPr>
          <w:b w:val="0"/>
          <w:color w:val="44403C"/>
          <w:sz w:val="18"/>
        </w:rPr>
        <w:t>Nurx and Hers get a user to a prescription decision via a questionnaire and provider review (Hers replies reportedly within 24 hours; Nurx $28 consult + about $15 per month for medication). Natural Cycles sells daily engagement through a subscription app. adyn is the only one that sells precision, and it pays for that precision with time.</w:t>
      </w:r>
    </w:p>
    <w:p>
      <w:pPr>
        <w:spacing w:before="100" w:after="40"/>
      </w:pPr>
      <w:r>
        <w:rPr>
          <w:b/>
          <w:color w:val="6D28D9"/>
          <w:sz w:val="20"/>
        </w:rPr>
        <w:t>THREE OBSERVATIONS, HYPOTHESES, AND WHAT I WOULD MEASURE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969"/>
            <w:shd w:val="clear" w:color="auto" w:fill="EDE9FE"/>
          </w:tcPr>
          <w:p>
            <w:pPr>
              <w:spacing w:before="20" w:after="20"/>
            </w:pPr>
            <w:r/>
            <w:r>
              <w:rPr>
                <w:b/>
                <w:color w:val="1C1917"/>
                <w:sz w:val="17"/>
              </w:rPr>
              <w:t>What I see</w:t>
            </w:r>
          </w:p>
        </w:tc>
        <w:tc>
          <w:tcPr>
            <w:tcW w:type="dxa" w:w="3628"/>
            <w:shd w:val="clear" w:color="auto" w:fill="EDE9FE"/>
          </w:tcPr>
          <w:p>
            <w:pPr>
              <w:spacing w:before="20" w:after="20"/>
            </w:pPr>
            <w:r/>
            <w:r>
              <w:rPr>
                <w:b/>
                <w:color w:val="1C1917"/>
                <w:sz w:val="17"/>
              </w:rPr>
              <w:t>Hypothesis to test</w:t>
            </w:r>
          </w:p>
        </w:tc>
        <w:tc>
          <w:tcPr>
            <w:tcW w:type="dxa" w:w="2494"/>
            <w:shd w:val="clear" w:color="auto" w:fill="EDE9FE"/>
          </w:tcPr>
          <w:p>
            <w:pPr>
              <w:spacing w:before="20" w:after="20"/>
            </w:pPr>
            <w:r/>
            <w:r>
              <w:rPr>
                <w:b/>
                <w:color w:val="1C1917"/>
                <w:sz w:val="17"/>
              </w:rPr>
              <w:t>Metric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b/>
                <w:color w:val="1C1917"/>
                <w:sz w:val="17"/>
              </w:rPr>
              <w:t xml:space="preserve">1. The wait is the product risk. </w:t>
            </w:r>
            <w:r>
              <w:rPr>
                <w:b w:val="0"/>
                <w:color w:val="44403C"/>
                <w:sz w:val="17"/>
              </w:rPr>
              <w:t>Value arrives 3-5+ weeks after purchase, and the sample timing depends on the user's cycle. Questionnaire-based competitors reach a provider decision in roughly a day (per reviews).</w:t>
            </w:r>
          </w:p>
        </w:tc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b w:val="0"/>
                <w:color w:val="44403C"/>
                <w:sz w:val="17"/>
              </w:rPr>
              <w:t>A "while you wait" experience (kit status, day-3 cycle reminders, plain-language prep for the visit) lowers drop-off between purchase and sample return.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b w:val="0"/>
                <w:color w:val="44403C"/>
                <w:sz w:val="17"/>
              </w:rPr>
              <w:t>Purchase to valid-sample-returned rate; first-pass sample validity; days to valid sample.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b/>
                <w:color w:val="1C1917"/>
                <w:sz w:val="17"/>
              </w:rPr>
              <w:t xml:space="preserve">2. The report is rich but dense. </w:t>
            </w:r>
            <w:r>
              <w:rPr>
                <w:b w:val="0"/>
                <w:color w:val="44403C"/>
                <w:sz w:val="17"/>
              </w:rPr>
              <w:t>Customers describe "a TON of information" with footnotes, and skeptics question the evidence. Trust is a core conversion lever for a genetics-based claim.</w:t>
            </w:r>
          </w:p>
        </w:tc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b w:val="0"/>
                <w:color w:val="44403C"/>
                <w:sz w:val="17"/>
              </w:rPr>
              <w:t>Leading with "your top matches and why, in your own words" and tagging evidence strength raises confidence and speeds the decision.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b w:val="0"/>
                <w:color w:val="44403C"/>
                <w:sz w:val="17"/>
              </w:rPr>
              <w:t>Report open to visit booked; time from results to booking; visit-to-prescription rate.</w:t>
            </w:r>
          </w:p>
        </w:tc>
      </w:tr>
      <w:tr>
        <w:tc>
          <w:tcPr>
            <w:tcW w:type="dxa" w:w="3969"/>
          </w:tcPr>
          <w:p>
            <w:pPr>
              <w:spacing w:before="20" w:after="20"/>
            </w:pPr>
            <w:r/>
            <w:r>
              <w:rPr>
                <w:b/>
                <w:color w:val="1C1917"/>
                <w:sz w:val="17"/>
              </w:rPr>
              <w:t xml:space="preserve">3. Results-to-visit is a handoff. </w:t>
            </w:r>
            <w:r>
              <w:rPr>
                <w:b w:val="0"/>
                <w:color w:val="44403C"/>
                <w:sz w:val="17"/>
              </w:rPr>
              <w:t>Booking sits after the report; one public customer account describes being unable to schedule while the site was down. One-time $369 purchase, with retesting recommended.</w:t>
            </w:r>
          </w:p>
        </w:tc>
        <w:tc>
          <w:tcPr>
            <w:tcW w:type="dxa" w:w="3628"/>
          </w:tcPr>
          <w:p>
            <w:pPr>
              <w:spacing w:before="20" w:after="20"/>
            </w:pPr>
            <w:r/>
            <w:r>
              <w:rPr>
                <w:b w:val="0"/>
                <w:color w:val="44403C"/>
                <w:sz w:val="17"/>
              </w:rPr>
              <w:t>Booking the visit inline from the report (and offering a doctor-share summary) increases conversion, and a retest prompt tied to life events builds the longitudinal relationship adyn is betting on.</w:t>
            </w:r>
          </w:p>
        </w:tc>
        <w:tc>
          <w:tcPr>
            <w:tcW w:type="dxa" w:w="2494"/>
          </w:tcPr>
          <w:p>
            <w:pPr>
              <w:spacing w:before="20" w:after="20"/>
            </w:pPr>
            <w:r/>
            <w:r>
              <w:rPr>
                <w:b w:val="0"/>
                <w:color w:val="44403C"/>
                <w:sz w:val="17"/>
              </w:rPr>
              <w:t>Results-to-fulfillment rate; retest rate at 12 months; side-effect-driven method-switch rate at 3 and 6 months.</w:t>
            </w:r>
          </w:p>
        </w:tc>
      </w:tr>
    </w:tbl>
    <w:p>
      <w:pPr>
        <w:spacing w:before="100" w:after="40"/>
      </w:pPr>
      <w:r>
        <w:rPr>
          <w:b/>
          <w:color w:val="6D28D9"/>
          <w:sz w:val="20"/>
        </w:rPr>
        <w:t>CONCEPT TO PROTOTYPE FIRST: "RESULTS HOME"</w:t>
      </w:r>
    </w:p>
    <w:p>
      <w:pPr>
        <w:spacing w:before="0" w:after="40"/>
      </w:pPr>
      <w:r>
        <w:rPr>
          <w:b/>
          <w:color w:val="1C1917"/>
          <w:sz w:val="18"/>
        </w:rPr>
        <w:t xml:space="preserve">Before results: </w:t>
      </w:r>
      <w:r>
        <w:rPr>
          <w:b w:val="0"/>
          <w:color w:val="44403C"/>
          <w:sz w:val="18"/>
        </w:rPr>
        <w:t xml:space="preserve">a four-step tracker (kit, sample, lab, results) with cycle-aware reminders and a one-tap video call for collection help. </w:t>
      </w:r>
      <w:r>
        <w:rPr>
          <w:b/>
          <w:color w:val="1C1917"/>
          <w:sz w:val="18"/>
        </w:rPr>
        <w:t xml:space="preserve">At results: </w:t>
      </w:r>
      <w:r>
        <w:rPr>
          <w:b w:val="0"/>
          <w:color w:val="44403C"/>
          <w:sz w:val="18"/>
        </w:rPr>
        <w:t xml:space="preserve">top three matches with one-line reasons tied to the goals the user entered, an evidence-strength tag on each claim, the full report one tap deeper, and the visit booking calendar on the same screen. </w:t>
      </w:r>
      <w:r>
        <w:rPr>
          <w:b/>
          <w:color w:val="1C1917"/>
          <w:sz w:val="18"/>
        </w:rPr>
        <w:t xml:space="preserve">After the visit: </w:t>
      </w:r>
      <w:r>
        <w:rPr>
          <w:b w:val="0"/>
          <w:color w:val="44403C"/>
          <w:sz w:val="18"/>
        </w:rPr>
        <w:t>a shareable summary for the user's own doctor and a retest reminder tied to life changes.</w:t>
      </w:r>
    </w:p>
    <w:p>
      <w:pPr>
        <w:spacing w:before="0" w:after="40"/>
      </w:pPr>
      <w:r>
        <w:rPr>
          <w:b w:val="0"/>
          <w:color w:val="44403C"/>
          <w:sz w:val="18"/>
        </w:rPr>
        <w:t>Test plan: moderated usability sessions with 8-10 current or prospective birth control users, including users across race, age, and gender identity, to match adyn's inclusion mission; then an A/B test of the results layout against the current report.</w:t>
      </w:r>
    </w:p>
    <w:p>
      <w:pPr>
        <w:spacing w:before="100" w:after="40"/>
      </w:pPr>
      <w:r>
        <w:rPr>
          <w:b/>
          <w:color w:val="6D28D9"/>
          <w:sz w:val="20"/>
        </w:rPr>
        <w:t>PROPOSED KPI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EDE9FE"/>
          </w:tcPr>
          <w:p>
            <w:pPr>
              <w:spacing w:before="20" w:after="20"/>
            </w:pPr>
            <w:r/>
            <w:r>
              <w:rPr>
                <w:b/>
                <w:color w:val="1C1917"/>
                <w:sz w:val="17"/>
              </w:rPr>
              <w:t>Clinical</w:t>
            </w:r>
          </w:p>
        </w:tc>
        <w:tc>
          <w:tcPr>
            <w:tcW w:type="dxa" w:w="3475"/>
            <w:shd w:val="clear" w:color="auto" w:fill="EDE9FE"/>
          </w:tcPr>
          <w:p>
            <w:pPr>
              <w:spacing w:before="20" w:after="20"/>
            </w:pPr>
            <w:r/>
            <w:r>
              <w:rPr>
                <w:b/>
                <w:color w:val="1C1917"/>
                <w:sz w:val="17"/>
              </w:rPr>
              <w:t>Engagement</w:t>
            </w:r>
          </w:p>
        </w:tc>
        <w:tc>
          <w:tcPr>
            <w:tcW w:type="dxa" w:w="3475"/>
            <w:shd w:val="clear" w:color="auto" w:fill="EDE9FE"/>
          </w:tcPr>
          <w:p>
            <w:pPr>
              <w:spacing w:before="20" w:after="20"/>
            </w:pPr>
            <w:r/>
            <w:r>
              <w:rPr>
                <w:b/>
                <w:color w:val="1C1917"/>
                <w:sz w:val="17"/>
              </w:rPr>
              <w:t>Business</w:t>
            </w:r>
          </w:p>
        </w:tc>
      </w:tr>
      <w:tr>
        <w:tc>
          <w:tcPr>
            <w:tcW w:type="dxa" w:w="3475"/>
          </w:tcPr>
          <w:p>
            <w:pPr>
              <w:spacing w:before="20" w:after="20"/>
            </w:pPr>
            <w:r/>
            <w:r>
              <w:rPr>
                <w:b w:val="0"/>
                <w:color w:val="44403C"/>
                <w:sz w:val="17"/>
              </w:rPr>
              <w:t>Side-effect-driven switches at 3 and 6 months (north star). Visit completion. Adverse-event reports.</w:t>
            </w:r>
          </w:p>
        </w:tc>
        <w:tc>
          <w:tcPr>
            <w:tcW w:type="dxa" w:w="3475"/>
          </w:tcPr>
          <w:p>
            <w:pPr>
              <w:spacing w:before="20" w:after="20"/>
            </w:pPr>
            <w:r/>
            <w:r>
              <w:rPr>
                <w:b w:val="0"/>
                <w:color w:val="44403C"/>
                <w:sz w:val="17"/>
              </w:rPr>
              <w:t>Purchase to valid sample. Report to visit booked. Retest rate. Report depth and return visits.</w:t>
            </w:r>
          </w:p>
        </w:tc>
        <w:tc>
          <w:tcPr>
            <w:tcW w:type="dxa" w:w="3475"/>
          </w:tcPr>
          <w:p>
            <w:pPr>
              <w:spacing w:before="20" w:after="20"/>
            </w:pPr>
            <w:r/>
            <w:r>
              <w:rPr>
                <w:b w:val="0"/>
                <w:color w:val="44403C"/>
                <w:sz w:val="17"/>
              </w:rPr>
              <w:t>Quiz to purchase. Results to prescription fulfillment. Cost per completed journey. NPS and referral rate.</w:t>
            </w:r>
          </w:p>
        </w:tc>
      </w:tr>
    </w:tbl>
    <w:p>
      <w:pPr>
        <w:spacing w:before="20" w:after="20"/>
        <w:pBdr>
          <w:bottom w:val="single" w:sz="6" w:space="1" w:color="6D28D9"/>
        </w:pBdr>
      </w:pPr>
    </w:p>
    <w:p>
      <w:pPr>
        <w:spacing w:before="0" w:after="40"/>
      </w:pPr>
      <w:r>
        <w:rPr>
          <w:b/>
          <w:color w:val="1C1917"/>
          <w:sz w:val="17"/>
        </w:rPr>
        <w:t xml:space="preserve">Why this fits the role: </w:t>
      </w:r>
      <w:r>
        <w:rPr>
          <w:b w:val="0"/>
          <w:color w:val="44403C"/>
          <w:sz w:val="17"/>
        </w:rPr>
        <w:t>it mirrors the first-month brief (UX analysis of consumer digital health, prototypes, priorities, metrics) and uses the same loop I run today: research, instrument, test, and decide on evidence. Khushboo Dodani  |  khushdodani@gmail.com  |  kdodani-portfolio.vercel.app</w:t>
      </w:r>
    </w:p>
    <w:sectPr w:rsidR="00FC693F" w:rsidRPr="0006063C" w:rsidSect="00034616">
      <w:pgSz w:w="12240" w:h="15840"/>
      <w:pgMar w:top="680" w:right="907" w:bottom="56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