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9F6"/>
  <w:body>
    <w:p w14:paraId="5C548A40" w14:textId="77777777" w:rsidR="00A224F4" w:rsidRDefault="00000000">
      <w:pPr>
        <w:spacing w:after="40"/>
        <w:jc w:val="center"/>
      </w:pPr>
      <w:r>
        <w:rPr>
          <w:b/>
          <w:color w:val="1C1917"/>
          <w:sz w:val="36"/>
        </w:rPr>
        <w:t>KHUSHBOO DODANI</w:t>
      </w:r>
    </w:p>
    <w:p w14:paraId="3248AEBD" w14:textId="77777777" w:rsidR="00A224F4" w:rsidRDefault="00000000">
      <w:pPr>
        <w:spacing w:after="40"/>
        <w:jc w:val="center"/>
      </w:pPr>
      <w:r>
        <w:rPr>
          <w:color w:val="78716C"/>
          <w:sz w:val="18"/>
        </w:rPr>
        <w:t xml:space="preserve">South San Francisco, Bay Area  |  khushdodani@gmail.com  |  </w:t>
      </w:r>
      <w:hyperlink r:id="rId6">
        <w:r>
          <w:rPr>
            <w:color w:val="78716C"/>
            <w:sz w:val="18"/>
            <w:szCs w:val="18"/>
            <w:u w:val="single"/>
          </w:rPr>
          <w:t>LinkedIn</w:t>
        </w:r>
      </w:hyperlink>
      <w:r>
        <w:rPr>
          <w:color w:val="78716C"/>
          <w:sz w:val="18"/>
        </w:rPr>
        <w:t xml:space="preserve">  |  </w:t>
      </w:r>
      <w:hyperlink r:id="rId7">
        <w:r>
          <w:rPr>
            <w:color w:val="78716C"/>
            <w:sz w:val="18"/>
            <w:szCs w:val="18"/>
            <w:u w:val="single"/>
          </w:rPr>
          <w:t>GitHub</w:t>
        </w:r>
      </w:hyperlink>
      <w:r>
        <w:rPr>
          <w:color w:val="78716C"/>
          <w:sz w:val="18"/>
        </w:rPr>
        <w:t xml:space="preserve">  |  </w:t>
      </w:r>
      <w:hyperlink r:id="rId8">
        <w:r>
          <w:rPr>
            <w:color w:val="78716C"/>
            <w:sz w:val="18"/>
            <w:szCs w:val="18"/>
            <w:u w:val="single"/>
          </w:rPr>
          <w:t>Portfolio</w:t>
        </w:r>
      </w:hyperlink>
    </w:p>
    <w:p w14:paraId="29645B4F" w14:textId="77777777" w:rsidR="00A224F4" w:rsidRDefault="00000000"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 w14:paraId="1576ADE0" w14:textId="580CFC44" w:rsidR="00A224F4" w:rsidRDefault="00000000" w:rsidP="00981C7F">
      <w:pPr>
        <w:spacing w:before="20" w:after="80"/>
        <w:jc w:val="center"/>
      </w:pPr>
      <w:r>
        <w:rPr>
          <w:color w:val="5B21B6"/>
          <w:sz w:val="18"/>
        </w:rPr>
        <w:t>Clinician Documentation  •  Ambulatory Point-of-Care EHR  •  AI Chart Intelligence  •  Enterprise Adoption</w:t>
      </w:r>
    </w:p>
    <w:p w14:paraId="04F914A3" w14:textId="77777777" w:rsidR="00A224F4" w:rsidRDefault="00000000">
      <w:pPr>
        <w:spacing w:before="80" w:after="80"/>
      </w:pPr>
      <w:r>
        <w:rPr>
          <w:color w:val="44403C"/>
          <w:sz w:val="19"/>
        </w:rPr>
        <w:t>Product Manager with 5 years shipping clinician-facing products in regulated healthcare, including ambulatory point-of-care documentation embedded in the EHR and a production-minded LLM/RAG prototype that extracts, synthesizes, and structures clinical context from unstructured records. Partners with clinicians, engineering, and data science to cut documentation burden and prove adoption with quality metrics — completeness, drop-off, support load, and workflow completion — designing AI so humans retain judgment. Master of Business Analytics; BBA in Marketing.</w:t>
      </w:r>
    </w:p>
    <w:p w14:paraId="629975C6" w14:textId="77777777" w:rsidR="00A224F4" w:rsidRDefault="00A224F4">
      <w:pPr>
        <w:pBdr>
          <w:bottom w:val="single" w:sz="6" w:space="1" w:color="6D28D9"/>
        </w:pBdr>
        <w:spacing w:before="40" w:after="40"/>
      </w:pPr>
    </w:p>
    <w:p w14:paraId="34480E7D" w14:textId="77777777" w:rsidR="00A224F4" w:rsidRDefault="00000000"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 w14:paraId="4B6097EB" w14:textId="77777777" w:rsidR="00A224F4" w:rsidRDefault="00000000">
      <w:pPr>
        <w:keepNext/>
        <w:spacing w:before="100" w:after="20"/>
      </w:pPr>
      <w:r>
        <w:rPr>
          <w:b/>
          <w:color w:val="1C1917"/>
          <w:sz w:val="20"/>
        </w:rPr>
        <w:t>Product Manager — Clinician Experience &amp; Clinical Documentation  |  WorkSafeBC</w:t>
      </w:r>
      <w:r>
        <w:rPr>
          <w:color w:val="78716C"/>
          <w:sz w:val="18"/>
        </w:rPr>
        <w:t xml:space="preserve">    Apr 2024 – Present</w:t>
      </w:r>
    </w:p>
    <w:p w14:paraId="53B0E949" w14:textId="77777777" w:rsidR="00A224F4" w:rsidRDefault="00000000">
      <w:pPr>
        <w:keepNext/>
        <w:spacing w:after="20"/>
      </w:pPr>
      <w:r>
        <w:rPr>
          <w:i/>
          <w:color w:val="4F46E5"/>
          <w:sz w:val="18"/>
        </w:rPr>
        <w:t>AI Chart Intelligence &amp; Clinical Safety</w:t>
      </w:r>
    </w:p>
    <w:p w14:paraId="44F28A55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Referral Radar, an LLM/RAG prototype (InnoFest 2nd place, 2025) over 20–75 claim documents per case (intake notes, medical reports, counselling plans) to generate summaries, surface evidence, and support referral decisions — designed to cut case-manager review from ~90+ minutes of manual cross-referencing (SME-estimated) to minutes.</w:t>
      </w:r>
    </w:p>
    <w:p w14:paraId="27B1BF8A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the prototype for a production path: product architecture with engineering (LLM/RAG, multi-agent, evidence traces), evaluation on explainability and traceability rather than automation rate, and a hard human-in-the-loop boundary (AI retrieves; humans decide).</w:t>
      </w:r>
    </w:p>
    <w:p w14:paraId="690DD0BF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Refused auto-approve on treatment extensions after analysis of 139K historical requests showed 79% were always approved — optimizing for speed alone would have rubber-stamped an $80M spend. Kept clinical review in the product so judgment stayed with case managers.</w:t>
      </w:r>
    </w:p>
    <w:p w14:paraId="520E1164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Unblocked the AI sprint when production claim data was unavailable by building a synthetic-data path validated with case managers; used Lovable and GitHub Copilot to prototype workflows and compress discovery-to-engineering timelines before development investment.</w:t>
      </w:r>
    </w:p>
    <w:p w14:paraId="00BE19A6" w14:textId="77777777" w:rsidR="00A224F4" w:rsidRDefault="00000000">
      <w:pPr>
        <w:keepNext/>
        <w:spacing w:after="20"/>
      </w:pPr>
      <w:r>
        <w:rPr>
          <w:i/>
          <w:color w:val="4F46E5"/>
          <w:sz w:val="18"/>
        </w:rPr>
        <w:t>Clinician Documentation Workflows &amp; Quality</w:t>
      </w:r>
    </w:p>
    <w:p w14:paraId="17EAB37F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the clinician-facing systems healthcare providers use to submit clinical documentation, treatment requests, referrals, and invoices — partnering with physicians, ER and hospital-adjacent billing teams, clinical operations, engineering, and program leadership.</w:t>
      </w:r>
    </w:p>
    <w:p w14:paraId="21F4DFD6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Interviewed physicians (including ER clinicians whose teams bill for hospital and emergency encounters) to map documentation under time pressure: GPs will not leave the EMR, and ER workflows still pull clinicians into administrative invoicing. Designed products to sit inside existing clinical workflow rather than a side portal.</w:t>
      </w:r>
    </w:p>
    <w:p w14:paraId="4A3BEBC5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Rebuilt high-volume clinician submission after 25 of 3,795 organizations generated 50% of remaining paper volume (~280K blocked line items): cut the journey from 11 screens to 5, shifted paper from 56% to 19% of line items (cutting clinician drop-off to fax/mail by more than half), and grew portal share from 39% to 55% (workflow completion on the digital path) — reducing documentation/admin time and securing $580K in executive funding.</w:t>
      </w:r>
    </w:p>
    <w:p w14:paraId="77D0D0A6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Treated documentation completeness as a product quality problem, not a training problem: Form 8/11 clinical notes were truncated by a 2001 billing spec (52,000 faxes/year, ~28M keystrokes). Front-end validation and simplified workflows improved data quality, decreased support calls by 30%, and increased clinician satisfaction (NPS +25).</w:t>
      </w:r>
    </w:p>
    <w:p w14:paraId="20E15E00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Digitized physio treatment-extension requests (replacing fax/phone) with tracking, error validation, and phased rollout — partnering with CMS product owners on an $80M physiotherapy spend workflow so treatment continuity did not stall while case-manager review stayed in the loop.</w:t>
      </w:r>
    </w:p>
    <w:p w14:paraId="00DFFCD9" w14:textId="77777777" w:rsidR="00A224F4" w:rsidRDefault="00000000">
      <w:pPr>
        <w:keepNext/>
        <w:spacing w:after="20"/>
      </w:pPr>
      <w:r>
        <w:rPr>
          <w:i/>
          <w:color w:val="4F46E5"/>
          <w:sz w:val="18"/>
        </w:rPr>
        <w:t>EHR Integration at Point of Care</w:t>
      </w:r>
    </w:p>
    <w:p w14:paraId="2BF3B1F4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0-to-1 product discovery for ambulatory point-of-care submission so physicians could send clinical documentation from OSCAR (community GP EMR) rather than a separate portal — after 15 physician interviews showed GPs will not use any software other than their EMR.</w:t>
      </w:r>
    </w:p>
    <w:p w14:paraId="3EFE9C0F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Secured $80K Innovation Council funding and a commercial EMR vendor roadmap covering ~70% of the provider ecosystem (~1,200 BC physicians as OSCAR beachhead; top 5 EMRs ≈ 80% of the market). Coordinated 50 EMR vendors plus TELUS, ForgeRock, and government partners from requirements through go-live.</w:t>
      </w:r>
    </w:p>
    <w:p w14:paraId="48B5B631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lastRenderedPageBreak/>
        <w:t>Made explicit technical tradeoffs with architects: JSON payload for POC speed vs. FHIR as the documented upgrade path; Azure APIM as a reusable facade vs. point-to-point integrations; OAuth2.0/mTLS for the clinical data channel — decoupling clinical reporting from the billing spec that had frozen form content since 2015.</w:t>
      </w:r>
    </w:p>
    <w:p w14:paraId="7E1B4393" w14:textId="77777777" w:rsidR="00A224F4" w:rsidRDefault="00000000">
      <w:pPr>
        <w:keepNext/>
        <w:spacing w:after="20"/>
      </w:pPr>
      <w:r>
        <w:rPr>
          <w:i/>
          <w:color w:val="4F46E5"/>
          <w:sz w:val="18"/>
        </w:rPr>
        <w:t>Enterprise Adoption in Complex Healthcare Environments</w:t>
      </w:r>
    </w:p>
    <w:p w14:paraId="76FC4D12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a CIAM migration of 5,600 healthcare professionals across 500 organizations on a portal carrying 62,000+ annual referrals: multi-channel outreach, administrator-led vs self-serve rollout, and helpdesk enablement — 0 service disruptions; 100% of active accounts transitioned on deadline.</w:t>
      </w:r>
    </w:p>
    <w:p w14:paraId="48259051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Instrumented PostHog funnels before launch and ran named-cohort dark / soft / hard launches with Healthcare Operations so existing digital volume was not disrupted while a new high-volume segment activated — adoption and clinician drop-off were visible within days, not after a big-bang cutover.</w:t>
      </w:r>
    </w:p>
    <w:p w14:paraId="641E591A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Drove adoption across a multi-persona buying committee — physicians, ER/hospital billing teams, office admins, case managers, medical advisors, operations, executives, and EMR vendors — translating outcomes into sequenced roadmaps rather than one-size-fits-all rollouts.</w:t>
      </w:r>
    </w:p>
    <w:p w14:paraId="7B4D26F0" w14:textId="77777777" w:rsidR="00A224F4" w:rsidRDefault="00000000"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color w:val="78716C"/>
          <w:sz w:val="18"/>
        </w:rPr>
        <w:t xml:space="preserve">    Oct 2021 – Apr 2024</w:t>
      </w:r>
    </w:p>
    <w:p w14:paraId="59DBC5FD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healthcare-adjacent domain expertise from a non-healthcare seat: led discovery for a mobile remote inspections platform through contextual research, workflow mapping, usability testing, and prototyping before development investment — a pattern later applied to clinician documentation products.</w:t>
      </w:r>
    </w:p>
    <w:p w14:paraId="5F475E0A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with engineering, field inspectors, designers, and operations leaders to translate operational pain points into product requirements, roadmap priorities, and implementation plans.</w:t>
      </w:r>
    </w:p>
    <w:p w14:paraId="4FEF8B63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NLP-powered email classification into a live operational workflow to automate routing and triage of incoming requests, reducing manual inbox processing — the production NLP predecessor to later LLM prototypes.</w:t>
      </w:r>
    </w:p>
    <w:p w14:paraId="33C32211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operational analytics identifying an 11.7% average annual churn rate and an RFM segmentation model that drove targeted engagement campaigns retaining 78% of high-risk customers.</w:t>
      </w:r>
    </w:p>
    <w:p w14:paraId="5FFEBC7E" w14:textId="77777777" w:rsidR="00A224F4" w:rsidRDefault="00000000"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color w:val="78716C"/>
          <w:sz w:val="18"/>
        </w:rPr>
        <w:t xml:space="preserve">    Sep 2020 – Oct 2021</w:t>
      </w:r>
    </w:p>
    <w:p w14:paraId="4A921134" w14:textId="77777777" w:rsidR="00A224F4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product and market strategies for nonprofit and clean energy organizations through customer research, market analysis, and strategic planning; designed a data-driven acquisition strategy for Open Primaries that reduced website bounce rate by 37% while doubling subscriptions.</w:t>
      </w:r>
    </w:p>
    <w:p w14:paraId="2989239F" w14:textId="77777777" w:rsidR="00A224F4" w:rsidRDefault="00A224F4">
      <w:pPr>
        <w:pBdr>
          <w:bottom w:val="single" w:sz="6" w:space="1" w:color="6D28D9"/>
        </w:pBdr>
        <w:spacing w:before="40" w:after="40"/>
      </w:pPr>
    </w:p>
    <w:p w14:paraId="0D28601C" w14:textId="77777777" w:rsidR="00A224F4" w:rsidRDefault="00000000"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 w14:paraId="35366A59" w14:textId="59487E38" w:rsidR="00A224F4" w:rsidRDefault="00000000" w:rsidP="00981C7F"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color w:val="78716C"/>
          <w:sz w:val="18"/>
        </w:rPr>
        <w:t xml:space="preserve">    Python  •  SQL  •  Machine Learning  •  Optimization  •  Product Analytics</w:t>
      </w:r>
    </w:p>
    <w:p w14:paraId="039AB672" w14:textId="77777777" w:rsidR="00A224F4" w:rsidRDefault="00000000"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color w:val="78716C"/>
          <w:sz w:val="18"/>
        </w:rPr>
        <w:t xml:space="preserve">    </w:t>
      </w:r>
    </w:p>
    <w:p w14:paraId="6155EC48" w14:textId="77777777" w:rsidR="00A224F4" w:rsidRDefault="00A224F4">
      <w:pPr>
        <w:pBdr>
          <w:bottom w:val="single" w:sz="6" w:space="1" w:color="6D28D9"/>
        </w:pBdr>
        <w:spacing w:before="40" w:after="40"/>
      </w:pPr>
    </w:p>
    <w:p w14:paraId="38568130" w14:textId="77777777" w:rsidR="00A224F4" w:rsidRDefault="00000000"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 w14:paraId="449F6CA7" w14:textId="1EBAD050" w:rsidR="00A224F4" w:rsidRDefault="00000000" w:rsidP="00981C7F">
      <w:pPr>
        <w:keepNext/>
        <w:spacing w:after="20"/>
      </w:pPr>
      <w:r>
        <w:rPr>
          <w:b/>
          <w:color w:val="1C1917"/>
          <w:sz w:val="19"/>
        </w:rPr>
        <w:t xml:space="preserve">Speaker — </w:t>
      </w:r>
      <w:proofErr w:type="spellStart"/>
      <w:r>
        <w:rPr>
          <w:b/>
          <w:color w:val="1C1917"/>
          <w:sz w:val="19"/>
        </w:rPr>
        <w:t>ProductCamp</w:t>
      </w:r>
      <w:proofErr w:type="spellEnd"/>
      <w:r>
        <w:rPr>
          <w:b/>
          <w:color w:val="1C1917"/>
          <w:sz w:val="19"/>
        </w:rPr>
        <w:t xml:space="preserve"> BC (2025)</w:t>
      </w:r>
      <w:r w:rsidR="00981C7F">
        <w:t xml:space="preserve"> </w:t>
      </w:r>
      <w:r>
        <w:rPr>
          <w:i/>
          <w:color w:val="44403C"/>
          <w:sz w:val="19"/>
        </w:rPr>
        <w:t>"How Legacy Industries Can Adopt a Product Mindset to Improve Service Delivery."</w:t>
      </w:r>
    </w:p>
    <w:p w14:paraId="3F2CF759" w14:textId="58F565A0" w:rsidR="00A224F4" w:rsidRDefault="00000000" w:rsidP="00981C7F">
      <w:pPr>
        <w:keepNext/>
        <w:spacing w:before="80" w:after="20"/>
      </w:pPr>
      <w:r>
        <w:rPr>
          <w:b/>
          <w:color w:val="1C1917"/>
          <w:sz w:val="19"/>
        </w:rPr>
        <w:t xml:space="preserve">Mentor — </w:t>
      </w:r>
      <w:proofErr w:type="spellStart"/>
      <w:r>
        <w:rPr>
          <w:b/>
          <w:color w:val="1C1917"/>
          <w:sz w:val="19"/>
        </w:rPr>
        <w:t>ProductBC</w:t>
      </w:r>
      <w:proofErr w:type="spellEnd"/>
      <w:r w:rsidR="00981C7F">
        <w:t xml:space="preserve"> </w:t>
      </w:r>
      <w:r>
        <w:rPr>
          <w:color w:val="44403C"/>
          <w:sz w:val="19"/>
        </w:rPr>
        <w:t>Mentor aspiring Product Managers in product discovery, strategy, and career development.</w:t>
      </w:r>
    </w:p>
    <w:p w14:paraId="3B19DFA2" w14:textId="77777777" w:rsidR="00A224F4" w:rsidRDefault="00A224F4">
      <w:pPr>
        <w:pBdr>
          <w:bottom w:val="single" w:sz="6" w:space="1" w:color="6D28D9"/>
        </w:pBdr>
        <w:spacing w:before="40" w:after="40"/>
      </w:pPr>
    </w:p>
    <w:p w14:paraId="6AA51C92" w14:textId="77777777" w:rsidR="00A224F4" w:rsidRDefault="00000000"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 w14:paraId="5B45FB42" w14:textId="77777777" w:rsidR="00A224F4" w:rsidRDefault="00000000"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Product Roadmaps  •  Clinician-facing Products  •  0-to-1 Products  •  Enterprise Adoption  •  Change Management  •  Quality Metrics  •  Executive Influence</w:t>
      </w:r>
    </w:p>
    <w:p w14:paraId="26C4F43C" w14:textId="77777777" w:rsidR="00A224F4" w:rsidRDefault="00000000">
      <w:pPr>
        <w:spacing w:before="40" w:after="40"/>
      </w:pPr>
      <w:r>
        <w:rPr>
          <w:b/>
          <w:color w:val="5B21B6"/>
          <w:sz w:val="18"/>
        </w:rPr>
        <w:t xml:space="preserve">Clinical Workflows:  </w:t>
      </w:r>
      <w:r>
        <w:rPr>
          <w:color w:val="44403C"/>
          <w:sz w:val="18"/>
        </w:rPr>
        <w:t>Clinical Documentation Workflows  •  Documentation Completeness  •  Provider Workflow Automation  •  EHR/EMR Integration  •  Point-of-Care Workflows  •  Provider Experience  •  Physician Interviews  •  Regulated Healthcare</w:t>
      </w:r>
    </w:p>
    <w:p w14:paraId="6CDA72CB" w14:textId="77777777" w:rsidR="00A224F4" w:rsidRDefault="00000000">
      <w:pPr>
        <w:spacing w:before="40" w:after="40"/>
      </w:pPr>
      <w:r>
        <w:rPr>
          <w:b/>
          <w:color w:val="5B21B6"/>
          <w:sz w:val="18"/>
        </w:rPr>
        <w:t xml:space="preserve">AI / ML:  </w:t>
      </w:r>
      <w:r>
        <w:rPr>
          <w:color w:val="44403C"/>
          <w:sz w:val="18"/>
        </w:rPr>
        <w:t>LLM Applications  •  RAG  •  Unstructured Data Processing  •  Claim / Chart Summarization  •  Natural-Language Search  •  Human-in-the-Loop Evaluation  •  NLP (clinical documents)  •  Evidence Traceability  •  Generative AI</w:t>
      </w:r>
    </w:p>
    <w:p w14:paraId="1372BD26" w14:textId="77777777" w:rsidR="00A224F4" w:rsidRDefault="00000000">
      <w:pPr>
        <w:spacing w:before="40" w:after="40"/>
      </w:pPr>
      <w:r>
        <w:rPr>
          <w:b/>
          <w:color w:val="5B21B6"/>
          <w:sz w:val="18"/>
        </w:rPr>
        <w:t xml:space="preserve">Technical:  </w:t>
      </w:r>
      <w:r>
        <w:rPr>
          <w:color w:val="44403C"/>
          <w:sz w:val="18"/>
        </w:rPr>
        <w:t>REST APIs  •  EMR/EHR Integrations  •  Azure APIM  •  OAuth2.0 / mTLS  •  JSON vs FHIR Tradeoffs  •  SQL  •  Python  •  PostHog  •  GitHub Copilot  •  Lovable</w:t>
      </w:r>
    </w:p>
    <w:p w14:paraId="33CF27C2" w14:textId="77777777" w:rsidR="00A224F4" w:rsidRDefault="00000000"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Journey Mapping  •  Workflow Analysis  •  Usability Testing  •  A/B Testing  •  Prototyping  •  Figma</w:t>
      </w:r>
    </w:p>
    <w:sectPr w:rsidR="00A224F4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054031">
    <w:abstractNumId w:val="8"/>
  </w:num>
  <w:num w:numId="2" w16cid:durableId="21790139">
    <w:abstractNumId w:val="6"/>
  </w:num>
  <w:num w:numId="3" w16cid:durableId="4553719">
    <w:abstractNumId w:val="5"/>
  </w:num>
  <w:num w:numId="4" w16cid:durableId="794904737">
    <w:abstractNumId w:val="4"/>
  </w:num>
  <w:num w:numId="5" w16cid:durableId="1954700596">
    <w:abstractNumId w:val="7"/>
  </w:num>
  <w:num w:numId="6" w16cid:durableId="476066943">
    <w:abstractNumId w:val="3"/>
  </w:num>
  <w:num w:numId="7" w16cid:durableId="339629525">
    <w:abstractNumId w:val="2"/>
  </w:num>
  <w:num w:numId="8" w16cid:durableId="1660383003">
    <w:abstractNumId w:val="1"/>
  </w:num>
  <w:num w:numId="9" w16cid:durableId="205268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9AA"/>
    <w:rsid w:val="00981C7F"/>
    <w:rsid w:val="00A224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D21CB"/>
  <w14:defaultImageDpi w14:val="300"/>
  <w15:docId w15:val="{E4E111C5-4DE8-42CA-B366-5E9D3C0B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odani-portfolio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doda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hushdodan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ddodani@student.ubc.ca</cp:lastModifiedBy>
  <cp:revision>2</cp:revision>
  <cp:lastPrinted>2026-09-15T00:08:00Z</cp:lastPrinted>
  <dcterms:created xsi:type="dcterms:W3CDTF">2013-12-23T23:15:00Z</dcterms:created>
  <dcterms:modified xsi:type="dcterms:W3CDTF">2026-09-15T00:08:00Z</dcterms:modified>
  <cp:category/>
</cp:coreProperties>
</file>