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B1" w:rsidRPr="003C6660" w:rsidRDefault="003C6660" w:rsidP="003C6660">
      <w:r w:rsidRPr="003C6660">
        <w:rPr>
          <w:rFonts w:ascii="Arial" w:hAnsi="Arial" w:cs="Arial"/>
        </w:rPr>
        <w:t xml:space="preserve">Pandemie </w:t>
      </w:r>
      <w:proofErr w:type="spellStart"/>
      <w:r w:rsidRPr="003C6660">
        <w:rPr>
          <w:rFonts w:ascii="Arial" w:hAnsi="Arial" w:cs="Arial"/>
        </w:rPr>
        <w:t>koronaviru</w:t>
      </w:r>
      <w:proofErr w:type="spellEnd"/>
      <w:r w:rsidRPr="003C6660">
        <w:rPr>
          <w:rFonts w:ascii="Arial" w:hAnsi="Arial" w:cs="Arial"/>
        </w:rPr>
        <w:t xml:space="preserve"> nadále ovlivňovala globální mobilní průmysl – celosvětové prodeje koncovým uživatelům činily ve druhém čtvrtletí roku 2020 podle dat společnosti </w:t>
      </w:r>
      <w:proofErr w:type="spellStart"/>
      <w:r w:rsidRPr="003C6660">
        <w:rPr>
          <w:rFonts w:ascii="Arial" w:hAnsi="Arial" w:cs="Arial"/>
        </w:rPr>
        <w:t>Gartner</w:t>
      </w:r>
      <w:proofErr w:type="spellEnd"/>
      <w:r w:rsidRPr="003C6660">
        <w:rPr>
          <w:rFonts w:ascii="Arial" w:hAnsi="Arial" w:cs="Arial"/>
        </w:rPr>
        <w:t xml:space="preserve"> 295 milionů zařízení, což představuje meziroční pokles o 20,4 %. Ve střední a východní Evropě klesly ve druhém čtvrtletí prodeje chytrých telefonů jen mírně, v Česku dokonce meziročně mírně vzrostly.</w:t>
      </w:r>
      <w:bookmarkStart w:id="0" w:name="_GoBack"/>
      <w:bookmarkEnd w:id="0"/>
    </w:p>
    <w:sectPr w:rsidR="003F67B1" w:rsidRPr="003C6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C6660"/>
    <w:rsid w:val="003D3701"/>
    <w:rsid w:val="003F67B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6056"/>
    <w:rsid w:val="00BA1A75"/>
    <w:rsid w:val="00BD2C13"/>
    <w:rsid w:val="00BE2ECB"/>
    <w:rsid w:val="00C50907"/>
    <w:rsid w:val="00C7057D"/>
    <w:rsid w:val="00D30B5C"/>
    <w:rsid w:val="00E01852"/>
    <w:rsid w:val="00E20E4A"/>
    <w:rsid w:val="00E44F9C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2020-09-11T18:23:00Z</dcterms:created>
  <dcterms:modified xsi:type="dcterms:W3CDTF">2020-09-11T18:23:00Z</dcterms:modified>
</cp:coreProperties>
</file>