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120"/>
        <w:jc w:val="center"/>
      </w:pPr>
      <w:r>
        <w:rPr>
          <w:rFonts w:ascii="Times New Roman" w:hAnsi="Times New Roman"/>
          <w:b/>
          <w:sz w:val="44"/>
        </w:rPr>
        <w:t>Natural Language Querying of DuckDB Using LLM:</w:t>
        <w:br/>
        <w:t>A Privacy-Preserving Approach to Accessible Data Analytics</w:t>
      </w:r>
    </w:p>
    <w:p>
      <w:pPr>
        <w:spacing w:after="20"/>
        <w:jc w:val="center"/>
      </w:pPr>
      <w:r>
        <w:rPr>
          <w:rFonts w:ascii="Times New Roman" w:hAnsi="Times New Roman"/>
          <w:sz w:val="22"/>
        </w:rPr>
        <w:t>Padmapriya H N¹, Chandana M Pallegar², G K Harshitha³, Poojitha K D⁴, Rakshitha B M⁵</w:t>
      </w:r>
    </w:p>
    <w:p>
      <w:pPr>
        <w:spacing w:after="20"/>
        <w:jc w:val="center"/>
      </w:pPr>
      <w:r>
        <w:rPr>
          <w:rFonts w:ascii="Times New Roman" w:hAnsi="Times New Roman"/>
          <w:i/>
          <w:sz w:val="18"/>
        </w:rPr>
        <w:t>¹ Assistant Professor, Dept. of Computer Science and Engineering (AI &amp; ML)</w:t>
      </w:r>
    </w:p>
    <w:p>
      <w:pPr>
        <w:spacing w:after="20"/>
        <w:jc w:val="center"/>
      </w:pPr>
      <w:r>
        <w:rPr>
          <w:rFonts w:ascii="Times New Roman" w:hAnsi="Times New Roman"/>
          <w:i/>
          <w:sz w:val="18"/>
        </w:rPr>
        <w:t>²³⁴⁵ UG Scholar, Dept. of Computer Science and Engineering (AI &amp; ML)</w:t>
      </w:r>
    </w:p>
    <w:p>
      <w:pPr>
        <w:spacing w:after="20"/>
        <w:jc w:val="center"/>
      </w:pPr>
      <w:r>
        <w:rPr>
          <w:rFonts w:ascii="Times New Roman" w:hAnsi="Times New Roman"/>
          <w:i/>
          <w:sz w:val="18"/>
        </w:rPr>
        <w:t>GSSS Institute of Engineering and Technology for Women, Mysuru, Karnataka, India</w:t>
      </w:r>
    </w:p>
    <w:p>
      <w:pPr>
        <w:spacing w:after="240"/>
        <w:jc w:val="center"/>
      </w:pPr>
      <w:r>
        <w:rPr>
          <w:rFonts w:ascii="Times New Roman" w:hAnsi="Times New Roman"/>
          <w:sz w:val="18"/>
        </w:rPr>
        <w:t>padmapriya@gsss.edu.in¹, chandanapallegar@gmail.com², gkharshitha19@gmail.com³, poojithakd08@gmail.com⁴, rakshithamahadeva31@gmail.com⁵</w:t>
      </w:r>
    </w:p>
    <w:p>
      <w:pPr>
        <w:spacing w:after="40"/>
      </w:pPr>
    </w:p>
    <w:p>
      <w:pPr>
        <w:spacing w:before="200" w:after="80"/>
        <w:jc w:val="center"/>
      </w:pPr>
      <w:r>
        <w:rPr>
          <w:rFonts w:ascii="Times New Roman" w:hAnsi="Times New Roman"/>
          <w:b/>
          <w:i/>
          <w:sz w:val="18"/>
        </w:rPr>
        <w:t>Abstract</w:t>
      </w:r>
    </w:p>
    <w:p>
      <w:pPr>
        <w:spacing w:after="120" w:line="240" w:lineRule="auto"/>
        <w:jc w:val="both"/>
      </w:pPr>
      <w:r>
        <w:rPr>
          <w:rFonts w:ascii="Times New Roman" w:hAnsi="Times New Roman"/>
          <w:i/>
          <w:sz w:val="18"/>
        </w:rPr>
        <w:t>Across education, commerce, and administration, people routinely store valuable information in CSV spreadsheets yet lack the SQL know-how to probe it. We tackle this gap with a browser-based tool that lets anyone pose plain-English questions and receive instant answers from their own data. At the heart of our design sits FLAN-T5, a pre-trained language model running entirely on the user’s machine, so no record ever leaves the local environment. The model reads the column names of the uploaded file, converts the question into an SQL statement, and hands that statement to DuckDB—a lightweight, column-oriented engine that lives in memory and finishes most look-ups in well under a second. Flask ties the pieces together on the server side, while a safety filter rejects any query that could alter or destroy data. Because nothing touches the cloud, the workflow naturally respects privacy rules like GDPR and FERPA. In our tests the model produced correct SQL between 85 and 95 percent of the time on neatly labelled datasets, DuckDB handled a million-row file in roughly half a second, and the language-model step itself held steady near 1.6 seconds regardless of how large the file was. Three non-technical volunteers—a teacher, a sales manager, and an HR officer—completed every assigned task without prior training, confirming that the system works as a low-cost, private, and genuinely usable analytics assistant.</w:t>
      </w:r>
    </w:p>
    <w:p>
      <w:pPr>
        <w:spacing w:after="240"/>
      </w:pPr>
      <w:r>
        <w:rPr>
          <w:rFonts w:ascii="Times New Roman" w:hAnsi="Times New Roman"/>
          <w:b/>
          <w:i/>
          <w:sz w:val="18"/>
        </w:rPr>
        <w:t>Keywords—</w:t>
      </w:r>
      <w:r>
        <w:rPr>
          <w:rFonts w:ascii="Times New Roman" w:hAnsi="Times New Roman"/>
          <w:i/>
          <w:sz w:val="18"/>
        </w:rPr>
        <w:t>Natural Language Processing, Text-to-SQL, Large Language Models, DuckDB, FLAN-T5, Privacy-Preserving AI, Flask, In-Memory Database, Data Analytics, Transformer Architecture.</w:t>
      </w:r>
    </w:p>
    <w:p>
      <w:pPr>
        <w:spacing w:before="240" w:after="120"/>
      </w:pPr>
      <w:r>
        <w:rPr>
          <w:rFonts w:ascii="Times New Roman" w:hAnsi="Times New Roman"/>
          <w:b/>
          <w:sz w:val="20"/>
        </w:rPr>
        <w:t>1. INTRODUCTION</w:t>
      </w:r>
    </w:p>
    <w:p>
      <w:pPr>
        <w:spacing w:after="80" w:line="240" w:lineRule="auto"/>
        <w:ind w:firstLine="283"/>
        <w:jc w:val="both"/>
      </w:pPr>
      <w:r>
        <w:rPr>
          <w:rFonts w:ascii="Times New Roman" w:hAnsi="Times New Roman"/>
          <w:sz w:val="20"/>
        </w:rPr>
        <w:t>Almost every school, shop, and office today sits on a pile of CSV files—attendance sheets, payroll records, order logs—that hold answers to important questions. The catch is that getting those answers normally requires writing SQL, a skill most non-technical people simply do not have [1]. A teacher who wants to know which students scored below average, or a shop owner checking last month’s best-selling product, ends up either scrolling through rows manually or waiting for someone from IT to write the query.</w:t>
      </w:r>
    </w:p>
    <w:p>
      <w:pPr>
        <w:spacing w:after="80" w:line="240" w:lineRule="auto"/>
        <w:ind w:firstLine="283"/>
        <w:jc w:val="both"/>
      </w:pPr>
      <w:r>
        <w:rPr>
          <w:rFonts w:ascii="Times New Roman" w:hAnsi="Times New Roman"/>
          <w:sz w:val="20"/>
        </w:rPr>
        <w:t>Several workarounds exist, but each comes with trade-offs. Spreadsheet tools like Excel handle smaller files well enough, yet they slow down noticeably once a dataset crosses a few tens of thousands of rows. Raising an IT ticket introduces waiting time that can stretch from hours to days. Cloud AI chatbots such as ChatGPT and Google Bard can answer data questions impressively, but they require uploading the file to a remote server—something that is risky, and in some cases illegal, when the data contains student grades, salary figures, or medical records [2, 3].</w:t>
      </w:r>
    </w:p>
    <w:p>
      <w:pPr>
        <w:spacing w:after="80" w:line="240" w:lineRule="auto"/>
        <w:ind w:firstLine="283"/>
        <w:jc w:val="both"/>
      </w:pPr>
      <w:r>
        <w:rPr>
          <w:rFonts w:ascii="Times New Roman" w:hAnsi="Times New Roman"/>
          <w:sz w:val="20"/>
        </w:rPr>
        <w:t>We set out to build something simpler. Our goal was a single web page where a user drops a CSV file, types a question in everyday English, and gets back a table of results—all without the data ever leaving the laptop. To make this work we paired FLAN-T5 [19], a text-to-text transformer that runs locally, with DuckDB [18], an in-memory analytical engine that can crunch a million rows in under a second. Flask [17] glues the front-end to the back-end, and a validation layer sits between the model and the database to block anything that could corrupt the data.</w:t>
      </w:r>
    </w:p>
    <w:p>
      <w:pPr>
        <w:spacing w:after="80" w:line="240" w:lineRule="auto"/>
        <w:ind w:firstLine="283"/>
        <w:jc w:val="both"/>
      </w:pPr>
      <w:r>
        <w:rPr>
          <w:rFonts w:ascii="Times New Roman" w:hAnsi="Times New Roman"/>
          <w:sz w:val="20"/>
        </w:rPr>
        <w:t>Our main contributions can be summarised as follows. First, we present an architecture where every step —from AI inference to query execution—happens on local hardware with zero data exfiltration. Second, we introduce a schema-extraction pipeline that automatically figures out column names and types from any CSV, so the user never has to configure anything. Third, we describe a security module that filters out destructive SQL and injection attempts before they reach the database. Fourth, we report detailed experiments covering accuracy, speed, and real-world usability.</w:t>
      </w:r>
    </w:p>
    <w:p>
      <w:pPr>
        <w:spacing w:before="160" w:after="80"/>
      </w:pPr>
      <w:r>
        <w:rPr>
          <w:rFonts w:ascii="Times New Roman" w:hAnsi="Times New Roman"/>
          <w:b/>
          <w:i/>
          <w:sz w:val="20"/>
        </w:rPr>
        <w:t>1.1 Related Works</w:t>
      </w:r>
    </w:p>
    <w:p>
      <w:pPr>
        <w:spacing w:after="80" w:line="240" w:lineRule="auto"/>
        <w:ind w:firstLine="283"/>
        <w:jc w:val="both"/>
      </w:pPr>
      <w:r>
        <w:rPr>
          <w:rFonts w:ascii="Times New Roman" w:hAnsi="Times New Roman"/>
          <w:sz w:val="20"/>
        </w:rPr>
        <w:t>People have been trying to let ordinary users talk to databases in plain language for decades. The earliest attempts—LUNAR in the early 1970s, LADDER a few years later—relied on hand-written grammar rules [20]. These worked well within a narrow vocabulary but broke down the moment someone phrased a question in an unexpected way.</w:t>
      </w:r>
    </w:p>
    <w:p>
      <w:pPr>
        <w:spacing w:after="80" w:line="240" w:lineRule="auto"/>
        <w:ind w:firstLine="283"/>
        <w:jc w:val="both"/>
      </w:pPr>
      <w:r>
        <w:rPr>
          <w:rFonts w:ascii="Times New Roman" w:hAnsi="Times New Roman"/>
          <w:sz w:val="20"/>
        </w:rPr>
        <w:t>Things changed substantially when Sutskever and colleagues showed that a neural encoder–decoder network could learn to translate one sequence into another [7]. Bahdanau’s attention idea let the decoder peek back at relevant words in the input, which helped a lot with longer sentences [6]. Then Vaswani’s Transformer replaced recurrence with self-attention altogether [1], and practically every subsequent NLP advance has built on that design.</w:t>
      </w:r>
    </w:p>
    <w:p>
      <w:pPr>
        <w:spacing w:after="80" w:line="240" w:lineRule="auto"/>
        <w:ind w:firstLine="283"/>
        <w:jc w:val="both"/>
      </w:pPr>
      <w:r>
        <w:rPr>
          <w:rFonts w:ascii="Times New Roman" w:hAnsi="Times New Roman"/>
          <w:sz w:val="20"/>
        </w:rPr>
        <w:t>For the specific task of generating SQL, BERT-based systems like SQLova [4] did very well on the WikiSQL benchmark by treating query generation as a slot-filling exercise. They stumbled, however, on nested queries and multi-table joins. Raffel’s T5 model took a different angle: treat every NLP task as "text in, text out" [19]. Its instruction-tuned variant, FLAN-T5, turned out to be especially good at reading a table schema and producing the matching SQL string.</w:t>
      </w:r>
    </w:p>
    <w:p>
      <w:pPr>
        <w:spacing w:after="80" w:line="240" w:lineRule="auto"/>
        <w:ind w:firstLine="283"/>
        <w:jc w:val="both"/>
      </w:pPr>
      <w:r>
        <w:rPr>
          <w:rFonts w:ascii="Times New Roman" w:hAnsi="Times New Roman"/>
          <w:sz w:val="20"/>
        </w:rPr>
        <w:t>On the privacy front, Carlini and co-authors raised an alarm by showing that large models can memorize and regurgitate chunks of their training data [5]. That finding made us wary of any pipeline that ships user data to an external API. Meanwhile, Raasveldt and Mühleisen introduced DuckDB [18], an embedded OLAP database that sits inside the application process, reads Pandas DataFrames with zero copying overhead, and runs columnar vectorised execution. Combining a local FLAN-T5 with DuckDB gave us the two ingredients we needed: smart SQL generation and fast, private query execution.</w:t>
      </w:r>
    </w:p>
    <w:p>
      <w:pPr>
        <w:spacing w:before="240" w:after="120"/>
      </w:pPr>
      <w:r>
        <w:rPr>
          <w:rFonts w:ascii="Times New Roman" w:hAnsi="Times New Roman"/>
          <w:b/>
          <w:sz w:val="20"/>
        </w:rPr>
        <w:t>2. SYSTEM DESIGN AND METHODOLOGY</w:t>
      </w:r>
    </w:p>
    <w:p>
      <w:pPr>
        <w:spacing w:after="80" w:line="240" w:lineRule="auto"/>
        <w:ind w:firstLine="283"/>
        <w:jc w:val="both"/>
      </w:pPr>
      <w:r>
        <w:rPr>
          <w:rFonts w:ascii="Times New Roman" w:hAnsi="Times New Roman"/>
          <w:sz w:val="20"/>
        </w:rPr>
        <w:t>We organised the system into four layers—Interface, Intelligence, Data, and Orchestration—so that each concern stays cleanly separated. The sections below walk through the architecture, the individual components, the six implementation modules, and the step-by-step query pipeline.</w:t>
      </w:r>
    </w:p>
    <w:p>
      <w:pPr>
        <w:spacing w:before="160" w:after="80"/>
      </w:pPr>
      <w:r>
        <w:rPr>
          <w:rFonts w:ascii="Times New Roman" w:hAnsi="Times New Roman"/>
          <w:b/>
          <w:i/>
          <w:sz w:val="20"/>
        </w:rPr>
        <w:t>2.1 System Architecture</w:t>
      </w:r>
    </w:p>
    <w:p>
      <w:pPr>
        <w:spacing w:after="80" w:line="240" w:lineRule="auto"/>
        <w:ind w:firstLine="283"/>
        <w:jc w:val="both"/>
      </w:pPr>
      <w:r>
        <w:rPr>
          <w:rFonts w:ascii="Times New Roman" w:hAnsi="Times New Roman"/>
          <w:sz w:val="20"/>
        </w:rPr>
        <w:t>Fig. 1 shows the entity-relationship diagram that captures how users, files, data columns, and queries relate to one another inside the system. At the top sits the Interface Layer: an HTML5 page with a drag-and-drop upload zone and a chat-style query box. Below it is the Intelligence Layer, where FLAN-T5 lives in memory and converts English into SQL. The Data Layer wraps DuckDB, which stores the uploaded dataset as a temporary in-memory table. Finally, the Orchestration Layer is a Flask server that routes HTTP requests, manages user sessions, and coordinates the other three layers.</w:t>
      </w:r>
    </w:p>
    <w:p>
      <w:pPr>
        <w:spacing w:before="160" w:after="80"/>
        <w:jc w:val="center"/>
      </w:pPr>
      <w:r>
        <w:drawing>
          <wp:inline xmlns:a="http://schemas.openxmlformats.org/drawingml/2006/main" xmlns:pic="http://schemas.openxmlformats.org/drawingml/2006/picture">
            <wp:extent cx="4389120" cy="3194324"/>
            <wp:docPr id="1" name="Picture 1"/>
            <wp:cNvGraphicFramePr>
              <a:graphicFrameLocks noChangeAspect="1"/>
            </wp:cNvGraphicFramePr>
            <a:graphic>
              <a:graphicData uri="http://schemas.openxmlformats.org/drawingml/2006/picture">
                <pic:pic>
                  <pic:nvPicPr>
                    <pic:cNvPr id="0" name="page29_img1_1249x909.png"/>
                    <pic:cNvPicPr/>
                  </pic:nvPicPr>
                  <pic:blipFill>
                    <a:blip r:embed="rId9"/>
                    <a:stretch>
                      <a:fillRect/>
                    </a:stretch>
                  </pic:blipFill>
                  <pic:spPr>
                    <a:xfrm>
                      <a:off x="0" y="0"/>
                      <a:ext cx="4389120" cy="3194324"/>
                    </a:xfrm>
                    <a:prstGeom prst="rect"/>
                  </pic:spPr>
                </pic:pic>
              </a:graphicData>
            </a:graphic>
          </wp:inline>
        </w:drawing>
      </w:r>
    </w:p>
    <w:p>
      <w:pPr>
        <w:spacing w:after="160"/>
        <w:jc w:val="center"/>
      </w:pPr>
      <w:r>
        <w:rPr>
          <w:rFonts w:ascii="Times New Roman" w:hAnsi="Times New Roman"/>
          <w:sz w:val="16"/>
        </w:rPr>
        <w:t>Fig. 1. Entity-Relationship diagram mapping the interaction among users, uploaded files, data elements, and query operations.</w:t>
      </w:r>
    </w:p>
    <w:p>
      <w:pPr>
        <w:spacing w:after="80" w:line="240" w:lineRule="auto"/>
        <w:ind w:firstLine="283"/>
        <w:jc w:val="both"/>
      </w:pPr>
      <w:r>
        <w:rPr>
          <w:rFonts w:ascii="Times New Roman" w:hAnsi="Times New Roman"/>
          <w:sz w:val="20"/>
        </w:rPr>
        <w:t>Fig. 2 lays out the full functional flow. A user drops a CSV file onto the page; Flask hands it to the ingestion module, which uses Pandas to clean up headers and register the data in DuckDB. When the user types a question, the system stitches together the table schema and the question into a prompt, feeds it to FLAN-T5, and gets back a candidate SQL string. That string passes through a safety check before DuckDB runs it. The result set comes back as JSON, and the browser renders it as a neat table.</w:t>
      </w:r>
    </w:p>
    <w:p>
      <w:pPr>
        <w:spacing w:before="160" w:after="80"/>
        <w:jc w:val="center"/>
      </w:pPr>
      <w:r>
        <w:drawing>
          <wp:inline xmlns:a="http://schemas.openxmlformats.org/drawingml/2006/main" xmlns:pic="http://schemas.openxmlformats.org/drawingml/2006/picture">
            <wp:extent cx="4114800" cy="5146263"/>
            <wp:docPr id="2" name="Picture 2"/>
            <wp:cNvGraphicFramePr>
              <a:graphicFrameLocks noChangeAspect="1"/>
            </wp:cNvGraphicFramePr>
            <a:graphic>
              <a:graphicData uri="http://schemas.openxmlformats.org/drawingml/2006/picture">
                <pic:pic>
                  <pic:nvPicPr>
                    <pic:cNvPr id="0" name="page31_img1_1117x1397.png"/>
                    <pic:cNvPicPr/>
                  </pic:nvPicPr>
                  <pic:blipFill>
                    <a:blip r:embed="rId10"/>
                    <a:stretch>
                      <a:fillRect/>
                    </a:stretch>
                  </pic:blipFill>
                  <pic:spPr>
                    <a:xfrm>
                      <a:off x="0" y="0"/>
                      <a:ext cx="4114800" cy="5146263"/>
                    </a:xfrm>
                    <a:prstGeom prst="rect"/>
                  </pic:spPr>
                </pic:pic>
              </a:graphicData>
            </a:graphic>
          </wp:inline>
        </w:drawing>
      </w:r>
    </w:p>
    <w:p>
      <w:pPr>
        <w:spacing w:after="160"/>
        <w:jc w:val="center"/>
      </w:pPr>
      <w:r>
        <w:rPr>
          <w:rFonts w:ascii="Times New Roman" w:hAnsi="Times New Roman"/>
          <w:sz w:val="16"/>
        </w:rPr>
        <w:t>Fig. 2. End-to-end functional architecture showing the data path from CSV upload to query result display.</w:t>
      </w:r>
    </w:p>
    <w:p>
      <w:pPr>
        <w:spacing w:before="160" w:after="80"/>
      </w:pPr>
      <w:r>
        <w:rPr>
          <w:rFonts w:ascii="Times New Roman" w:hAnsi="Times New Roman"/>
          <w:b/>
          <w:i/>
          <w:sz w:val="20"/>
        </w:rPr>
        <w:t>2.2 Component Design</w:t>
      </w:r>
    </w:p>
    <w:p>
      <w:pPr>
        <w:spacing w:after="80" w:line="240" w:lineRule="auto"/>
        <w:ind w:firstLine="283"/>
        <w:jc w:val="both"/>
      </w:pPr>
      <w:r>
        <w:rPr>
          <w:rFonts w:ascii="Times New Roman" w:hAnsi="Times New Roman"/>
          <w:sz w:val="20"/>
        </w:rPr>
        <w:t>Flask exposes three REST endpoints—/upload for file ingestion, /query for question submission, and /download for exporting results. We chose it for its minimal boilerplate and easy integration with Python libraries. FLAN-T5 is loaded once at startup via the Hugging Face Transformers library [13] and stays in RAM for the duration of the session. Because the model never calls home, not a single byte of user data touches the internet.</w:t>
      </w:r>
    </w:p>
    <w:p>
      <w:pPr>
        <w:spacing w:after="80" w:line="240" w:lineRule="auto"/>
        <w:ind w:firstLine="283"/>
        <w:jc w:val="both"/>
      </w:pPr>
      <w:r>
        <w:rPr>
          <w:rFonts w:ascii="Times New Roman" w:hAnsi="Times New Roman"/>
          <w:sz w:val="20"/>
        </w:rPr>
        <w:t>Instead of a traditional client-server database, we use DuckDB as an in-process engine. It reads a Pandas DataFrame directly—no serialisation, no disk writes—and runs analytical queries through a vectorised columnar executor. On our test machine a GROUP BY over half a million rows finished in about 0.3 seconds. Pandas itself handles the grunt work of reading the CSV, stripping odd characters from column headers, and figuring out whether each column holds text, integers, floats, or dates.</w:t>
      </w:r>
    </w:p>
    <w:p>
      <w:pPr>
        <w:spacing w:before="160" w:after="80"/>
      </w:pPr>
      <w:r>
        <w:rPr>
          <w:rFonts w:ascii="Times New Roman" w:hAnsi="Times New Roman"/>
          <w:b/>
          <w:i/>
          <w:sz w:val="20"/>
        </w:rPr>
        <w:t>2.3 Implementation Modules</w:t>
      </w:r>
    </w:p>
    <w:p>
      <w:pPr>
        <w:spacing w:after="80" w:line="240" w:lineRule="auto"/>
        <w:ind w:firstLine="283"/>
        <w:jc w:val="both"/>
      </w:pPr>
      <w:r>
        <w:rPr>
          <w:rFonts w:ascii="Times New Roman" w:hAnsi="Times New Roman"/>
          <w:sz w:val="20"/>
        </w:rPr>
        <w:t>Module 1 – User Interface: The front-end is deliberately simple. There is a drop zone for the CSV file, a preview table that appears as soon as the upload finishes, a text box for questions, and a small panel that reveals the SQL the model generated so the user can sanity-check it. A download button lets people grab the results as a fresh CSV. Fig. 3 shows the landing screen.</w:t>
      </w:r>
    </w:p>
    <w:p>
      <w:pPr>
        <w:spacing w:before="160" w:after="80"/>
        <w:jc w:val="center"/>
      </w:pPr>
      <w:r>
        <w:drawing>
          <wp:inline xmlns:a="http://schemas.openxmlformats.org/drawingml/2006/main" xmlns:pic="http://schemas.openxmlformats.org/drawingml/2006/picture">
            <wp:extent cx="4389120" cy="2308662"/>
            <wp:docPr id="3" name="Picture 3"/>
            <wp:cNvGraphicFramePr>
              <a:graphicFrameLocks noChangeAspect="1"/>
            </wp:cNvGraphicFramePr>
            <a:graphic>
              <a:graphicData uri="http://schemas.openxmlformats.org/drawingml/2006/picture">
                <pic:pic>
                  <pic:nvPicPr>
                    <pic:cNvPr id="0" name="page53_img1_1154x607.jpeg"/>
                    <pic:cNvPicPr/>
                  </pic:nvPicPr>
                  <pic:blipFill>
                    <a:blip r:embed="rId11"/>
                    <a:stretch>
                      <a:fillRect/>
                    </a:stretch>
                  </pic:blipFill>
                  <pic:spPr>
                    <a:xfrm>
                      <a:off x="0" y="0"/>
                      <a:ext cx="4389120" cy="2308662"/>
                    </a:xfrm>
                    <a:prstGeom prst="rect"/>
                  </pic:spPr>
                </pic:pic>
              </a:graphicData>
            </a:graphic>
          </wp:inline>
        </w:drawing>
      </w:r>
    </w:p>
    <w:p>
      <w:pPr>
        <w:spacing w:after="160"/>
        <w:jc w:val="center"/>
      </w:pPr>
      <w:r>
        <w:rPr>
          <w:rFonts w:ascii="Times New Roman" w:hAnsi="Times New Roman"/>
          <w:sz w:val="16"/>
        </w:rPr>
        <w:t>Fig. 3. Landing screen of the web application with the upload area and query panel visible.</w:t>
      </w:r>
    </w:p>
    <w:p>
      <w:pPr>
        <w:spacing w:after="80" w:line="240" w:lineRule="auto"/>
        <w:ind w:firstLine="283"/>
        <w:jc w:val="both"/>
      </w:pPr>
      <w:r>
        <w:rPr>
          <w:rFonts w:ascii="Times New Roman" w:hAnsi="Times New Roman"/>
          <w:sz w:val="20"/>
        </w:rPr>
        <w:t>Module 2 – Data Ingestion: The moment a CSV arrives, Pandas reads it, strips whitespace and special characters from every header, and infers each column’s type. The cleaned DataFrame becomes the single source of truth for the rest of the pipeline. Because this step is entirely automatic, the system works with any CSV the user happens to have—no schema files, no config, no manual mapping. Fig. 4 shows the file picker dialog.</w:t>
      </w:r>
    </w:p>
    <w:p>
      <w:pPr>
        <w:spacing w:before="160" w:after="80"/>
        <w:jc w:val="center"/>
      </w:pPr>
      <w:r>
        <w:drawing>
          <wp:inline xmlns:a="http://schemas.openxmlformats.org/drawingml/2006/main" xmlns:pic="http://schemas.openxmlformats.org/drawingml/2006/picture">
            <wp:extent cx="4389120" cy="2164238"/>
            <wp:docPr id="4" name="Picture 4"/>
            <wp:cNvGraphicFramePr>
              <a:graphicFrameLocks noChangeAspect="1"/>
            </wp:cNvGraphicFramePr>
            <a:graphic>
              <a:graphicData uri="http://schemas.openxmlformats.org/drawingml/2006/picture">
                <pic:pic>
                  <pic:nvPicPr>
                    <pic:cNvPr id="0" name="page54_img1_1158x571.jpeg"/>
                    <pic:cNvPicPr/>
                  </pic:nvPicPr>
                  <pic:blipFill>
                    <a:blip r:embed="rId12"/>
                    <a:stretch>
                      <a:fillRect/>
                    </a:stretch>
                  </pic:blipFill>
                  <pic:spPr>
                    <a:xfrm>
                      <a:off x="0" y="0"/>
                      <a:ext cx="4389120" cy="2164238"/>
                    </a:xfrm>
                    <a:prstGeom prst="rect"/>
                  </pic:spPr>
                </pic:pic>
              </a:graphicData>
            </a:graphic>
          </wp:inline>
        </w:drawing>
      </w:r>
    </w:p>
    <w:p>
      <w:pPr>
        <w:spacing w:after="160"/>
        <w:jc w:val="center"/>
      </w:pPr>
      <w:r>
        <w:rPr>
          <w:rFonts w:ascii="Times New Roman" w:hAnsi="Times New Roman"/>
          <w:sz w:val="16"/>
        </w:rPr>
        <w:t>Fig. 4. File selection dialog where the user chooses a CSV dataset to upload.</w:t>
      </w:r>
    </w:p>
    <w:p>
      <w:pPr>
        <w:spacing w:after="80" w:line="240" w:lineRule="auto"/>
        <w:ind w:firstLine="283"/>
        <w:jc w:val="both"/>
      </w:pPr>
      <w:r>
        <w:rPr>
          <w:rFonts w:ascii="Times New Roman" w:hAnsi="Times New Roman"/>
          <w:sz w:val="20"/>
        </w:rPr>
        <w:t>Module 3 – Schema Generation: Once the DataFrame is ready, we register it inside DuckDB under the fixed alias uploaded_data. We then pull out every column name alongside its inferred type and assemble a short descriptor like "Table: [Name (text), Age (int), Salary (float)]." This string becomes part of the prompt. Giving the model explicit column metadata—a technique sometimes called schema linking—cuts down on hallucinated column names and noticeably boosts accuracy.</w:t>
      </w:r>
    </w:p>
    <w:p>
      <w:pPr>
        <w:spacing w:after="80" w:line="240" w:lineRule="auto"/>
        <w:ind w:firstLine="283"/>
        <w:jc w:val="both"/>
      </w:pPr>
      <w:r>
        <w:rPr>
          <w:rFonts w:ascii="Times New Roman" w:hAnsi="Times New Roman"/>
          <w:sz w:val="20"/>
        </w:rPr>
        <w:t>Module 4 – Prompt Construction: We build each prompt from three pieces: a brief instruction ("Translate the following question to SQL"), the schema descriptor from Module 3, and the user’s question verbatim. Keeping the prompt compact matters because FLAN-T5-base has a limited context window, and stuffing in unnecessary tokens would push useful information out.</w:t>
      </w:r>
    </w:p>
    <w:p>
      <w:pPr>
        <w:spacing w:after="80" w:line="240" w:lineRule="auto"/>
        <w:ind w:firstLine="283"/>
        <w:jc w:val="both"/>
      </w:pPr>
      <w:r>
        <w:rPr>
          <w:rFonts w:ascii="Times New Roman" w:hAnsi="Times New Roman"/>
          <w:sz w:val="20"/>
        </w:rPr>
        <w:t>Module 5 – Security Filter: Before any SQL reaches DuckDB, it passes through a whitelist check. Only SELECT statements are allowed; anything containing DROP, DELETE, ALTER, INSERT, or UPDATE is rejected outright. The filter also scans for common injection patterns like stacked semicolons or comment sequences. In practice, the model rarely generates dangerous SQL on its own, but the filter is there as a safety net against both model misbehaviour and deliberate adversarial input.</w:t>
      </w:r>
    </w:p>
    <w:p>
      <w:pPr>
        <w:spacing w:after="80" w:line="240" w:lineRule="auto"/>
        <w:ind w:firstLine="283"/>
        <w:jc w:val="both"/>
      </w:pPr>
      <w:r>
        <w:rPr>
          <w:rFonts w:ascii="Times New Roman" w:hAnsi="Times New Roman"/>
          <w:sz w:val="20"/>
        </w:rPr>
        <w:t>Module 6 – Execution and Display: DuckDB runs the approved query and hands back a result set. We package the column headers and rows into a JSON object, which the browser renders as a styled HTML table. Users can also download the table as a CSV with one click. Fig. 5 shows the upload confirmation with a data preview, and Fig. 6 shows a completed query with its generated SQL.</w:t>
      </w:r>
    </w:p>
    <w:p>
      <w:pPr>
        <w:spacing w:before="160" w:after="80"/>
        <w:jc w:val="center"/>
      </w:pPr>
      <w:r>
        <w:drawing>
          <wp:inline xmlns:a="http://schemas.openxmlformats.org/drawingml/2006/main" xmlns:pic="http://schemas.openxmlformats.org/drawingml/2006/picture">
            <wp:extent cx="4389120" cy="2331720"/>
            <wp:docPr id="5" name="Picture 5"/>
            <wp:cNvGraphicFramePr>
              <a:graphicFrameLocks noChangeAspect="1"/>
            </wp:cNvGraphicFramePr>
            <a:graphic>
              <a:graphicData uri="http://schemas.openxmlformats.org/drawingml/2006/picture">
                <pic:pic>
                  <pic:nvPicPr>
                    <pic:cNvPr id="0" name="page55_img2_1152x612.jpeg"/>
                    <pic:cNvPicPr/>
                  </pic:nvPicPr>
                  <pic:blipFill>
                    <a:blip r:embed="rId13"/>
                    <a:stretch>
                      <a:fillRect/>
                    </a:stretch>
                  </pic:blipFill>
                  <pic:spPr>
                    <a:xfrm>
                      <a:off x="0" y="0"/>
                      <a:ext cx="4389120" cy="2331720"/>
                    </a:xfrm>
                    <a:prstGeom prst="rect"/>
                  </pic:spPr>
                </pic:pic>
              </a:graphicData>
            </a:graphic>
          </wp:inline>
        </w:drawing>
      </w:r>
    </w:p>
    <w:p>
      <w:pPr>
        <w:spacing w:after="160"/>
        <w:jc w:val="center"/>
      </w:pPr>
      <w:r>
        <w:rPr>
          <w:rFonts w:ascii="Times New Roman" w:hAnsi="Times New Roman"/>
          <w:sz w:val="16"/>
        </w:rPr>
        <w:t>Fig. 5. Upload confirmation screen displaying a preview of the ingested dataset.</w:t>
      </w:r>
    </w:p>
    <w:p>
      <w:pPr>
        <w:spacing w:before="160" w:after="80"/>
        <w:jc w:val="center"/>
      </w:pPr>
      <w:r>
        <w:drawing>
          <wp:inline xmlns:a="http://schemas.openxmlformats.org/drawingml/2006/main" xmlns:pic="http://schemas.openxmlformats.org/drawingml/2006/picture">
            <wp:extent cx="4389120" cy="2211660"/>
            <wp:docPr id="6" name="Picture 6"/>
            <wp:cNvGraphicFramePr>
              <a:graphicFrameLocks noChangeAspect="1"/>
            </wp:cNvGraphicFramePr>
            <a:graphic>
              <a:graphicData uri="http://schemas.openxmlformats.org/drawingml/2006/picture">
                <pic:pic>
                  <pic:nvPicPr>
                    <pic:cNvPr id="0" name="page57_img1_1155x582.png"/>
                    <pic:cNvPicPr/>
                  </pic:nvPicPr>
                  <pic:blipFill>
                    <a:blip r:embed="rId14"/>
                    <a:stretch>
                      <a:fillRect/>
                    </a:stretch>
                  </pic:blipFill>
                  <pic:spPr>
                    <a:xfrm>
                      <a:off x="0" y="0"/>
                      <a:ext cx="4389120" cy="2211660"/>
                    </a:xfrm>
                    <a:prstGeom prst="rect"/>
                  </pic:spPr>
                </pic:pic>
              </a:graphicData>
            </a:graphic>
          </wp:inline>
        </w:drawing>
      </w:r>
    </w:p>
    <w:p>
      <w:pPr>
        <w:spacing w:after="160"/>
        <w:jc w:val="center"/>
      </w:pPr>
      <w:r>
        <w:rPr>
          <w:rFonts w:ascii="Times New Roman" w:hAnsi="Times New Roman"/>
          <w:sz w:val="16"/>
        </w:rPr>
        <w:t>Fig. 6. Query interface after execution, with the generated SQL visible above the result table.</w:t>
      </w:r>
    </w:p>
    <w:p>
      <w:pPr>
        <w:spacing w:before="160" w:after="80"/>
      </w:pPr>
      <w:r>
        <w:rPr>
          <w:rFonts w:ascii="Times New Roman" w:hAnsi="Times New Roman"/>
          <w:b/>
          <w:i/>
          <w:sz w:val="20"/>
        </w:rPr>
        <w:t>2.4 Query Processing Pipeline</w:t>
      </w:r>
    </w:p>
    <w:p>
      <w:pPr>
        <w:spacing w:after="80" w:line="240" w:lineRule="auto"/>
        <w:ind w:firstLine="283"/>
        <w:jc w:val="both"/>
      </w:pPr>
      <w:r>
        <w:rPr>
          <w:rFonts w:ascii="Times New Roman" w:hAnsi="Times New Roman"/>
          <w:sz w:val="20"/>
        </w:rPr>
        <w:t>Putting the modules together, every query goes through nine steps:</w:t>
      </w:r>
    </w:p>
    <w:p>
      <w:pPr>
        <w:spacing w:after="40"/>
        <w:ind w:left="567"/>
      </w:pPr>
      <w:r>
        <w:rPr>
          <w:rFonts w:ascii="Times New Roman" w:hAnsi="Times New Roman"/>
          <w:b/>
          <w:sz w:val="18"/>
        </w:rPr>
        <w:t xml:space="preserve">Step 1: </w:t>
      </w:r>
      <w:r>
        <w:rPr>
          <w:rFonts w:ascii="Times New Roman" w:hAnsi="Times New Roman"/>
          <w:sz w:val="18"/>
        </w:rPr>
        <w:t>The user drags a CSV file onto the upload zone in the browser.</w:t>
      </w:r>
    </w:p>
    <w:p>
      <w:pPr>
        <w:spacing w:after="40"/>
        <w:ind w:left="567"/>
      </w:pPr>
      <w:r>
        <w:rPr>
          <w:rFonts w:ascii="Times New Roman" w:hAnsi="Times New Roman"/>
          <w:b/>
          <w:sz w:val="18"/>
        </w:rPr>
        <w:t xml:space="preserve">Step 2: </w:t>
      </w:r>
      <w:r>
        <w:rPr>
          <w:rFonts w:ascii="Times New Roman" w:hAnsi="Times New Roman"/>
          <w:sz w:val="18"/>
        </w:rPr>
        <w:t>Flask receives the file and passes it to the ingestion module, which cleans headers and loads the data into a Pandas DataFrame.</w:t>
      </w:r>
    </w:p>
    <w:p>
      <w:pPr>
        <w:spacing w:after="40"/>
        <w:ind w:left="567"/>
      </w:pPr>
      <w:r>
        <w:rPr>
          <w:rFonts w:ascii="Times New Roman" w:hAnsi="Times New Roman"/>
          <w:b/>
          <w:sz w:val="18"/>
        </w:rPr>
        <w:t xml:space="preserve">Step 3: </w:t>
      </w:r>
      <w:r>
        <w:rPr>
          <w:rFonts w:ascii="Times New Roman" w:hAnsi="Times New Roman"/>
          <w:sz w:val="18"/>
        </w:rPr>
        <w:t>The schema module registers the DataFrame as a DuckDB virtual table and extracts column names with their types.</w:t>
      </w:r>
    </w:p>
    <w:p>
      <w:pPr>
        <w:spacing w:after="40"/>
        <w:ind w:left="567"/>
      </w:pPr>
      <w:r>
        <w:rPr>
          <w:rFonts w:ascii="Times New Roman" w:hAnsi="Times New Roman"/>
          <w:b/>
          <w:sz w:val="18"/>
        </w:rPr>
        <w:t xml:space="preserve">Step 4: </w:t>
      </w:r>
      <w:r>
        <w:rPr>
          <w:rFonts w:ascii="Times New Roman" w:hAnsi="Times New Roman"/>
          <w:sz w:val="18"/>
        </w:rPr>
        <w:t>The user types a question in everyday English and hits submit.</w:t>
      </w:r>
    </w:p>
    <w:p>
      <w:pPr>
        <w:spacing w:after="40"/>
        <w:ind w:left="567"/>
      </w:pPr>
      <w:r>
        <w:rPr>
          <w:rFonts w:ascii="Times New Roman" w:hAnsi="Times New Roman"/>
          <w:b/>
          <w:sz w:val="18"/>
        </w:rPr>
        <w:t xml:space="preserve">Step 5: </w:t>
      </w:r>
      <w:r>
        <w:rPr>
          <w:rFonts w:ascii="Times New Roman" w:hAnsi="Times New Roman"/>
          <w:sz w:val="18"/>
        </w:rPr>
        <w:t>The prompt builder combines the instruction template, the schema string, and the question into a single input for the model.</w:t>
      </w:r>
    </w:p>
    <w:p>
      <w:pPr>
        <w:spacing w:after="40"/>
        <w:ind w:left="567"/>
      </w:pPr>
      <w:r>
        <w:rPr>
          <w:rFonts w:ascii="Times New Roman" w:hAnsi="Times New Roman"/>
          <w:b/>
          <w:sz w:val="18"/>
        </w:rPr>
        <w:t xml:space="preserve">Step 6: </w:t>
      </w:r>
      <w:r>
        <w:rPr>
          <w:rFonts w:ascii="Times New Roman" w:hAnsi="Times New Roman"/>
          <w:sz w:val="18"/>
        </w:rPr>
        <w:t>FLAN-T5 reads the prompt and outputs a candidate SQL string.</w:t>
      </w:r>
    </w:p>
    <w:p>
      <w:pPr>
        <w:spacing w:after="40"/>
        <w:ind w:left="567"/>
      </w:pPr>
      <w:r>
        <w:rPr>
          <w:rFonts w:ascii="Times New Roman" w:hAnsi="Times New Roman"/>
          <w:b/>
          <w:sz w:val="18"/>
        </w:rPr>
        <w:t xml:space="preserve">Step 7: </w:t>
      </w:r>
      <w:r>
        <w:rPr>
          <w:rFonts w:ascii="Times New Roman" w:hAnsi="Times New Roman"/>
          <w:sz w:val="18"/>
        </w:rPr>
        <w:t>The security filter inspects the SQL; if it contains anything destructive or suspicious, it is blocked and the user is told why.</w:t>
      </w:r>
    </w:p>
    <w:p>
      <w:pPr>
        <w:spacing w:after="40"/>
        <w:ind w:left="567"/>
      </w:pPr>
      <w:r>
        <w:rPr>
          <w:rFonts w:ascii="Times New Roman" w:hAnsi="Times New Roman"/>
          <w:b/>
          <w:sz w:val="18"/>
        </w:rPr>
        <w:t xml:space="preserve">Step 8: </w:t>
      </w:r>
      <w:r>
        <w:rPr>
          <w:rFonts w:ascii="Times New Roman" w:hAnsi="Times New Roman"/>
          <w:sz w:val="18"/>
        </w:rPr>
        <w:t>DuckDB executes the approved SQL against the in-memory table.</w:t>
      </w:r>
    </w:p>
    <w:p>
      <w:pPr>
        <w:spacing w:after="40"/>
        <w:ind w:left="567"/>
      </w:pPr>
      <w:r>
        <w:rPr>
          <w:rFonts w:ascii="Times New Roman" w:hAnsi="Times New Roman"/>
          <w:b/>
          <w:sz w:val="18"/>
        </w:rPr>
        <w:t xml:space="preserve">Step 9: </w:t>
      </w:r>
      <w:r>
        <w:rPr>
          <w:rFonts w:ascii="Times New Roman" w:hAnsi="Times New Roman"/>
          <w:sz w:val="18"/>
        </w:rPr>
        <w:t>The result set is wrapped in JSON and rendered as a table in the browser, with a download link.</w:t>
      </w:r>
    </w:p>
    <w:p>
      <w:pPr>
        <w:spacing w:before="240" w:after="120"/>
      </w:pPr>
      <w:r>
        <w:rPr>
          <w:rFonts w:ascii="Times New Roman" w:hAnsi="Times New Roman"/>
          <w:b/>
          <w:sz w:val="20"/>
        </w:rPr>
        <w:t>3. EXPERIMENTAL SETUP</w:t>
      </w:r>
    </w:p>
    <w:p>
      <w:pPr>
        <w:spacing w:after="80" w:line="240" w:lineRule="auto"/>
        <w:ind w:firstLine="283"/>
        <w:jc w:val="both"/>
      </w:pPr>
      <w:r>
        <w:rPr>
          <w:rFonts w:ascii="Times New Roman" w:hAnsi="Times New Roman"/>
          <w:sz w:val="20"/>
        </w:rPr>
        <w:t>All experiments ran on a mid-range Windows 11 laptop—an Intel Core i5 with 8 GB of RAM and a 256 GB SSD. There was no dedicated GPU; the model ran on CPU only. The software stack included Python 3.10, Flask 2.3.2, the Hugging Face Transformers library (version 4.30), DuckDB 0.8.1, and Pandas 2.0.3. We used the FLAN-T5-base checkpoint, which has roughly 250 million parameters—large enough to be useful, small enough to load comfortably in 8 GB of memory.</w:t>
      </w:r>
    </w:p>
    <w:p>
      <w:pPr>
        <w:spacing w:after="80" w:line="240" w:lineRule="auto"/>
        <w:ind w:firstLine="283"/>
        <w:jc w:val="both"/>
      </w:pPr>
      <w:r>
        <w:rPr>
          <w:rFonts w:ascii="Times New Roman" w:hAnsi="Times New Roman"/>
          <w:sz w:val="20"/>
        </w:rPr>
        <w:t>We prepared five test datasets of increasing size: a 500-row student marks file (6 columns), a 1 000-row employee directory (8 columns), a 10 000-row sales log (12 columns), a 50 000-row inventory catalogue (10 columns), and a synthetically generated million-row table (15 columns). For each dataset we wrote queries in three categories—simple look-ups ("Show me Ravi’s marks"), aggregations ("What is the average salary?"), and multi-condition filters ("List IT employees earning above 50 000") —and manually verified every SQL output.</w:t>
      </w:r>
    </w:p>
    <w:p>
      <w:pPr>
        <w:spacing w:before="240" w:after="120"/>
      </w:pPr>
      <w:r>
        <w:rPr>
          <w:rFonts w:ascii="Times New Roman" w:hAnsi="Times New Roman"/>
          <w:b/>
          <w:sz w:val="20"/>
        </w:rPr>
        <w:t>4. RESULTS AND DISCUSSION</w:t>
      </w:r>
    </w:p>
    <w:p>
      <w:pPr>
        <w:spacing w:before="160" w:after="80"/>
      </w:pPr>
      <w:r>
        <w:rPr>
          <w:rFonts w:ascii="Times New Roman" w:hAnsi="Times New Roman"/>
          <w:b/>
          <w:i/>
          <w:sz w:val="20"/>
        </w:rPr>
        <w:t>4.1 How Accurately Does the Model Generate SQL?</w:t>
      </w:r>
    </w:p>
    <w:p>
      <w:pPr>
        <w:spacing w:after="80" w:line="240" w:lineRule="auto"/>
        <w:ind w:firstLine="283"/>
        <w:jc w:val="both"/>
      </w:pPr>
      <w:r>
        <w:rPr>
          <w:rFonts w:ascii="Times New Roman" w:hAnsi="Times New Roman"/>
          <w:sz w:val="20"/>
        </w:rPr>
        <w:t>Table I collects the key numbers. On clean, well-labelled datasets the model produced correct SQL somewhere between 85 and 95 percent of the time. Straight look-ups were the easiest—about 95 percent right—because they map directly to a WHERE clause on one column. Aggregations (AVG, SUM, COUNT) came in around 90 percent. Multi-condition filters dipped to roughly 85 percent; the model occasionally picked the wrong logical operator (AND instead of OR) or confused two similarly named columns.</w:t>
      </w:r>
    </w:p>
    <w:p>
      <w:pPr>
        <w:spacing w:before="160" w:after="80"/>
        <w:jc w:val="center"/>
      </w:pPr>
      <w:r>
        <w:rPr>
          <w:rFonts w:ascii="Times New Roman" w:hAnsi="Times New Roman"/>
          <w:b/>
          <w:sz w:val="16"/>
        </w:rPr>
        <w:t>TABLE I: PERFORMANCE OVERVIEW OF THE NL-TO-SQL SYSTEM</w:t>
      </w:r>
    </w:p>
    <w:tbl>
      <w:tblPr>
        <w:tblStyle w:val="TableGrid"/>
        <w:tblW w:type="auto" w:w="0"/>
        <w:jc w:val="center"/>
        <w:tblLook w:firstColumn="1" w:firstRow="1" w:lastColumn="0" w:lastRow="0" w:noHBand="0" w:noVBand="1" w:val="04A0"/>
      </w:tblPr>
      <w:tblGrid>
        <w:gridCol w:w="5037"/>
        <w:gridCol w:w="5037"/>
      </w:tblGrid>
      <w:tr>
        <w:tc>
          <w:tcPr>
            <w:tcW w:type="dxa" w:w="5037"/>
            <w:shd w:fill="2E4057"/>
          </w:tcPr>
          <w:p>
            <w:pPr>
              <w:jc w:val="center"/>
            </w:pPr>
            <w:r/>
            <w:r>
              <w:rPr>
                <w:rFonts w:ascii="Times New Roman" w:hAnsi="Times New Roman"/>
                <w:b/>
                <w:color w:val="FFFFFF"/>
                <w:sz w:val="16"/>
              </w:rPr>
              <w:t>Parameter</w:t>
            </w:r>
          </w:p>
        </w:tc>
        <w:tc>
          <w:tcPr>
            <w:tcW w:type="dxa" w:w="5037"/>
            <w:shd w:fill="2E4057"/>
          </w:tcPr>
          <w:p>
            <w:pPr>
              <w:jc w:val="center"/>
            </w:pPr>
            <w:r/>
            <w:r>
              <w:rPr>
                <w:rFonts w:ascii="Times New Roman" w:hAnsi="Times New Roman"/>
                <w:b/>
                <w:color w:val="FFFFFF"/>
                <w:sz w:val="16"/>
              </w:rPr>
              <w:t>Observed Result</w:t>
            </w:r>
          </w:p>
        </w:tc>
      </w:tr>
      <w:tr>
        <w:tc>
          <w:tcPr>
            <w:tcW w:type="dxa" w:w="5037"/>
            <w:shd w:fill="EDF2F7"/>
          </w:tcPr>
          <w:p>
            <w:pPr>
              <w:jc w:val="center"/>
            </w:pPr>
            <w:r/>
            <w:r>
              <w:rPr>
                <w:rFonts w:ascii="Times New Roman" w:hAnsi="Times New Roman"/>
                <w:sz w:val="16"/>
              </w:rPr>
              <w:t>AI Model</w:t>
            </w:r>
          </w:p>
        </w:tc>
        <w:tc>
          <w:tcPr>
            <w:tcW w:type="dxa" w:w="5037"/>
            <w:shd w:fill="EDF2F7"/>
          </w:tcPr>
          <w:p>
            <w:pPr>
              <w:jc w:val="center"/>
            </w:pPr>
            <w:r/>
            <w:r>
              <w:rPr>
                <w:rFonts w:ascii="Times New Roman" w:hAnsi="Times New Roman"/>
                <w:sz w:val="16"/>
              </w:rPr>
              <w:t>FLAN-T5-base (250 M parameters)</w:t>
            </w:r>
          </w:p>
        </w:tc>
      </w:tr>
      <w:tr>
        <w:tc>
          <w:tcPr>
            <w:tcW w:type="dxa" w:w="5037"/>
          </w:tcPr>
          <w:p>
            <w:pPr>
              <w:jc w:val="center"/>
            </w:pPr>
            <w:r/>
            <w:r>
              <w:rPr>
                <w:rFonts w:ascii="Times New Roman" w:hAnsi="Times New Roman"/>
                <w:sz w:val="16"/>
              </w:rPr>
              <w:t>Overall SQL Accuracy</w:t>
            </w:r>
          </w:p>
        </w:tc>
        <w:tc>
          <w:tcPr>
            <w:tcW w:type="dxa" w:w="5037"/>
          </w:tcPr>
          <w:p>
            <w:pPr>
              <w:jc w:val="center"/>
            </w:pPr>
            <w:r/>
            <w:r>
              <w:rPr>
                <w:rFonts w:ascii="Times New Roman" w:hAnsi="Times New Roman"/>
                <w:sz w:val="16"/>
              </w:rPr>
              <w:t>85–95 %</w:t>
            </w:r>
          </w:p>
        </w:tc>
      </w:tr>
      <w:tr>
        <w:tc>
          <w:tcPr>
            <w:tcW w:type="dxa" w:w="5037"/>
            <w:shd w:fill="EDF2F7"/>
          </w:tcPr>
          <w:p>
            <w:pPr>
              <w:jc w:val="center"/>
            </w:pPr>
            <w:r/>
            <w:r>
              <w:rPr>
                <w:rFonts w:ascii="Times New Roman" w:hAnsi="Times New Roman"/>
                <w:sz w:val="16"/>
              </w:rPr>
              <w:t>Look-up Query Accuracy</w:t>
            </w:r>
          </w:p>
        </w:tc>
        <w:tc>
          <w:tcPr>
            <w:tcW w:type="dxa" w:w="5037"/>
            <w:shd w:fill="EDF2F7"/>
          </w:tcPr>
          <w:p>
            <w:pPr>
              <w:jc w:val="center"/>
            </w:pPr>
            <w:r/>
            <w:r>
              <w:rPr>
                <w:rFonts w:ascii="Times New Roman" w:hAnsi="Times New Roman"/>
                <w:sz w:val="16"/>
              </w:rPr>
              <w:t>≈ 95 %</w:t>
            </w:r>
          </w:p>
        </w:tc>
      </w:tr>
      <w:tr>
        <w:tc>
          <w:tcPr>
            <w:tcW w:type="dxa" w:w="5037"/>
          </w:tcPr>
          <w:p>
            <w:pPr>
              <w:jc w:val="center"/>
            </w:pPr>
            <w:r/>
            <w:r>
              <w:rPr>
                <w:rFonts w:ascii="Times New Roman" w:hAnsi="Times New Roman"/>
                <w:sz w:val="16"/>
              </w:rPr>
              <w:t>Aggregation Accuracy</w:t>
            </w:r>
          </w:p>
        </w:tc>
        <w:tc>
          <w:tcPr>
            <w:tcW w:type="dxa" w:w="5037"/>
          </w:tcPr>
          <w:p>
            <w:pPr>
              <w:jc w:val="center"/>
            </w:pPr>
            <w:r/>
            <w:r>
              <w:rPr>
                <w:rFonts w:ascii="Times New Roman" w:hAnsi="Times New Roman"/>
                <w:sz w:val="16"/>
              </w:rPr>
              <w:t>≈ 90 %</w:t>
            </w:r>
          </w:p>
        </w:tc>
      </w:tr>
      <w:tr>
        <w:tc>
          <w:tcPr>
            <w:tcW w:type="dxa" w:w="5037"/>
            <w:shd w:fill="EDF2F7"/>
          </w:tcPr>
          <w:p>
            <w:pPr>
              <w:jc w:val="center"/>
            </w:pPr>
            <w:r/>
            <w:r>
              <w:rPr>
                <w:rFonts w:ascii="Times New Roman" w:hAnsi="Times New Roman"/>
                <w:sz w:val="16"/>
              </w:rPr>
              <w:t>Multi-condition Filter Accuracy</w:t>
            </w:r>
          </w:p>
        </w:tc>
        <w:tc>
          <w:tcPr>
            <w:tcW w:type="dxa" w:w="5037"/>
            <w:shd w:fill="EDF2F7"/>
          </w:tcPr>
          <w:p>
            <w:pPr>
              <w:jc w:val="center"/>
            </w:pPr>
            <w:r/>
            <w:r>
              <w:rPr>
                <w:rFonts w:ascii="Times New Roman" w:hAnsi="Times New Roman"/>
                <w:sz w:val="16"/>
              </w:rPr>
              <w:t>≈ 85 %</w:t>
            </w:r>
          </w:p>
        </w:tc>
      </w:tr>
      <w:tr>
        <w:tc>
          <w:tcPr>
            <w:tcW w:type="dxa" w:w="5037"/>
          </w:tcPr>
          <w:p>
            <w:pPr>
              <w:jc w:val="center"/>
            </w:pPr>
            <w:r/>
            <w:r>
              <w:rPr>
                <w:rFonts w:ascii="Times New Roman" w:hAnsi="Times New Roman"/>
                <w:sz w:val="16"/>
              </w:rPr>
              <w:t>Simple Query Turnaround</w:t>
            </w:r>
          </w:p>
        </w:tc>
        <w:tc>
          <w:tcPr>
            <w:tcW w:type="dxa" w:w="5037"/>
          </w:tcPr>
          <w:p>
            <w:pPr>
              <w:jc w:val="center"/>
            </w:pPr>
            <w:r/>
            <w:r>
              <w:rPr>
                <w:rFonts w:ascii="Times New Roman" w:hAnsi="Times New Roman"/>
                <w:sz w:val="16"/>
              </w:rPr>
              <w:t>2–4 s</w:t>
            </w:r>
          </w:p>
        </w:tc>
      </w:tr>
      <w:tr>
        <w:tc>
          <w:tcPr>
            <w:tcW w:type="dxa" w:w="5037"/>
            <w:shd w:fill="EDF2F7"/>
          </w:tcPr>
          <w:p>
            <w:pPr>
              <w:jc w:val="center"/>
            </w:pPr>
            <w:r/>
            <w:r>
              <w:rPr>
                <w:rFonts w:ascii="Times New Roman" w:hAnsi="Times New Roman"/>
                <w:sz w:val="16"/>
              </w:rPr>
              <w:t>Complex Query Turnaround</w:t>
            </w:r>
          </w:p>
        </w:tc>
        <w:tc>
          <w:tcPr>
            <w:tcW w:type="dxa" w:w="5037"/>
            <w:shd w:fill="EDF2F7"/>
          </w:tcPr>
          <w:p>
            <w:pPr>
              <w:jc w:val="center"/>
            </w:pPr>
            <w:r/>
            <w:r>
              <w:rPr>
                <w:rFonts w:ascii="Times New Roman" w:hAnsi="Times New Roman"/>
                <w:sz w:val="16"/>
              </w:rPr>
              <w:t>5–8 s</w:t>
            </w:r>
          </w:p>
        </w:tc>
      </w:tr>
      <w:tr>
        <w:tc>
          <w:tcPr>
            <w:tcW w:type="dxa" w:w="5037"/>
          </w:tcPr>
          <w:p>
            <w:pPr>
              <w:jc w:val="center"/>
            </w:pPr>
            <w:r/>
            <w:r>
              <w:rPr>
                <w:rFonts w:ascii="Times New Roman" w:hAnsi="Times New Roman"/>
                <w:sz w:val="16"/>
              </w:rPr>
              <w:t>DuckDB Exec. (≤ 50 K rows)</w:t>
            </w:r>
          </w:p>
        </w:tc>
        <w:tc>
          <w:tcPr>
            <w:tcW w:type="dxa" w:w="5037"/>
          </w:tcPr>
          <w:p>
            <w:pPr>
              <w:jc w:val="center"/>
            </w:pPr>
            <w:r/>
            <w:r>
              <w:rPr>
                <w:rFonts w:ascii="Times New Roman" w:hAnsi="Times New Roman"/>
                <w:sz w:val="16"/>
              </w:rPr>
              <w:t>&lt; 1 s</w:t>
            </w:r>
          </w:p>
        </w:tc>
      </w:tr>
      <w:tr>
        <w:tc>
          <w:tcPr>
            <w:tcW w:type="dxa" w:w="5037"/>
            <w:shd w:fill="EDF2F7"/>
          </w:tcPr>
          <w:p>
            <w:pPr>
              <w:jc w:val="center"/>
            </w:pPr>
            <w:r/>
            <w:r>
              <w:rPr>
                <w:rFonts w:ascii="Times New Roman" w:hAnsi="Times New Roman"/>
                <w:sz w:val="16"/>
              </w:rPr>
              <w:t>DuckDB Exec. (1 M rows)</w:t>
            </w:r>
          </w:p>
        </w:tc>
        <w:tc>
          <w:tcPr>
            <w:tcW w:type="dxa" w:w="5037"/>
            <w:shd w:fill="EDF2F7"/>
          </w:tcPr>
          <w:p>
            <w:pPr>
              <w:jc w:val="center"/>
            </w:pPr>
            <w:r/>
            <w:r>
              <w:rPr>
                <w:rFonts w:ascii="Times New Roman" w:hAnsi="Times New Roman"/>
                <w:sz w:val="16"/>
              </w:rPr>
              <w:t>0.45 s</w:t>
            </w:r>
          </w:p>
        </w:tc>
      </w:tr>
      <w:tr>
        <w:tc>
          <w:tcPr>
            <w:tcW w:type="dxa" w:w="5037"/>
          </w:tcPr>
          <w:p>
            <w:pPr>
              <w:jc w:val="center"/>
            </w:pPr>
            <w:r/>
            <w:r>
              <w:rPr>
                <w:rFonts w:ascii="Times New Roman" w:hAnsi="Times New Roman"/>
                <w:sz w:val="16"/>
              </w:rPr>
              <w:t>Model Inference Latency</w:t>
            </w:r>
          </w:p>
        </w:tc>
        <w:tc>
          <w:tcPr>
            <w:tcW w:type="dxa" w:w="5037"/>
          </w:tcPr>
          <w:p>
            <w:pPr>
              <w:jc w:val="center"/>
            </w:pPr>
            <w:r/>
            <w:r>
              <w:rPr>
                <w:rFonts w:ascii="Times New Roman" w:hAnsi="Times New Roman"/>
                <w:sz w:val="16"/>
              </w:rPr>
              <w:t>~1.6 s (constant)</w:t>
            </w:r>
          </w:p>
        </w:tc>
      </w:tr>
      <w:tr>
        <w:tc>
          <w:tcPr>
            <w:tcW w:type="dxa" w:w="5037"/>
            <w:shd w:fill="EDF2F7"/>
          </w:tcPr>
          <w:p>
            <w:pPr>
              <w:jc w:val="center"/>
            </w:pPr>
            <w:r/>
            <w:r>
              <w:rPr>
                <w:rFonts w:ascii="Times New Roman" w:hAnsi="Times New Roman"/>
                <w:sz w:val="16"/>
              </w:rPr>
              <w:t>False-positive Rate</w:t>
            </w:r>
          </w:p>
        </w:tc>
        <w:tc>
          <w:tcPr>
            <w:tcW w:type="dxa" w:w="5037"/>
            <w:shd w:fill="EDF2F7"/>
          </w:tcPr>
          <w:p>
            <w:pPr>
              <w:jc w:val="center"/>
            </w:pPr>
            <w:r/>
            <w:r>
              <w:rPr>
                <w:rFonts w:ascii="Times New Roman" w:hAnsi="Times New Roman"/>
                <w:sz w:val="16"/>
              </w:rPr>
              <w:t>&lt; 10 %</w:t>
            </w:r>
          </w:p>
        </w:tc>
      </w:tr>
      <w:tr>
        <w:tc>
          <w:tcPr>
            <w:tcW w:type="dxa" w:w="5037"/>
          </w:tcPr>
          <w:p>
            <w:pPr>
              <w:jc w:val="center"/>
            </w:pPr>
            <w:r/>
            <w:r>
              <w:rPr>
                <w:rFonts w:ascii="Times New Roman" w:hAnsi="Times New Roman"/>
                <w:sz w:val="16"/>
              </w:rPr>
              <w:t>Destructive SQL Blocked</w:t>
            </w:r>
          </w:p>
        </w:tc>
        <w:tc>
          <w:tcPr>
            <w:tcW w:type="dxa" w:w="5037"/>
          </w:tcPr>
          <w:p>
            <w:pPr>
              <w:jc w:val="center"/>
            </w:pPr>
            <w:r/>
            <w:r>
              <w:rPr>
                <w:rFonts w:ascii="Times New Roman" w:hAnsi="Times New Roman"/>
                <w:sz w:val="16"/>
              </w:rPr>
              <w:t>100 %</w:t>
            </w:r>
          </w:p>
        </w:tc>
      </w:tr>
    </w:tbl>
    <w:p>
      <w:pPr>
        <w:spacing w:after="160"/>
      </w:pPr>
    </w:p>
    <w:p>
      <w:pPr>
        <w:spacing w:after="80" w:line="240" w:lineRule="auto"/>
        <w:ind w:firstLine="283"/>
        <w:jc w:val="both"/>
      </w:pPr>
      <w:r>
        <w:rPr>
          <w:rFonts w:ascii="Times New Roman" w:hAnsi="Times New Roman"/>
          <w:sz w:val="20"/>
        </w:rPr>
        <w:t>One thing that surprised us was how flat the inference time stayed. Whether the CSV had 100 rows or a million, the model took about 1.6 seconds to respond. That makes sense in hindsight: the model only sees the schema string (a few dozen tokens), not the actual rows. So doubling the file size does not double the thinking time. This property is crucial for user experience because it guarantees a predictable wait regardless of data volume.</w:t>
      </w:r>
    </w:p>
    <w:p>
      <w:pPr>
        <w:spacing w:before="160" w:after="80"/>
      </w:pPr>
      <w:r>
        <w:rPr>
          <w:rFonts w:ascii="Times New Roman" w:hAnsi="Times New Roman"/>
          <w:b/>
          <w:i/>
          <w:sz w:val="20"/>
        </w:rPr>
        <w:t>4.2 How Fast Is the Database?</w:t>
      </w:r>
    </w:p>
    <w:p>
      <w:pPr>
        <w:spacing w:after="80" w:line="240" w:lineRule="auto"/>
        <w:ind w:firstLine="283"/>
        <w:jc w:val="both"/>
      </w:pPr>
      <w:r>
        <w:rPr>
          <w:rFonts w:ascii="Times New Roman" w:hAnsi="Times New Roman"/>
          <w:sz w:val="20"/>
        </w:rPr>
        <w:t>Table II breaks the total response time into upload, inference, and execution segments across four file sizes. DuckDB was never the bottleneck. Even the million-row file only needed 0.45 seconds of execution time; the model’s 1.6-second inference step dominated every scenario. For the smallest file the whole round trip was under two seconds, which feels essentially instant to the user.</w:t>
      </w:r>
    </w:p>
    <w:p>
      <w:pPr>
        <w:spacing w:before="160" w:after="80"/>
        <w:jc w:val="center"/>
      </w:pPr>
      <w:r>
        <w:rPr>
          <w:rFonts w:ascii="Times New Roman" w:hAnsi="Times New Roman"/>
          <w:b/>
          <w:sz w:val="16"/>
        </w:rPr>
        <w:t>TABLE II: END-TO-END TIMING ACROSS DIFFERENT FILE SIZES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shd w:fill="2E4057"/>
          </w:tcPr>
          <w:p>
            <w:pPr>
              <w:jc w:val="center"/>
            </w:pPr>
            <w:r/>
            <w:r>
              <w:rPr>
                <w:rFonts w:ascii="Times New Roman" w:hAnsi="Times New Roman"/>
                <w:b/>
                <w:color w:val="FFFFFF"/>
                <w:sz w:val="16"/>
              </w:rPr>
              <w:t>File Size</w:t>
            </w:r>
          </w:p>
        </w:tc>
        <w:tc>
          <w:tcPr>
            <w:tcW w:type="dxa" w:w="2015"/>
            <w:shd w:fill="2E4057"/>
          </w:tcPr>
          <w:p>
            <w:pPr>
              <w:jc w:val="center"/>
            </w:pPr>
            <w:r/>
            <w:r>
              <w:rPr>
                <w:rFonts w:ascii="Times New Roman" w:hAnsi="Times New Roman"/>
                <w:b/>
                <w:color w:val="FFFFFF"/>
                <w:sz w:val="16"/>
              </w:rPr>
              <w:t>Rows</w:t>
            </w:r>
          </w:p>
        </w:tc>
        <w:tc>
          <w:tcPr>
            <w:tcW w:type="dxa" w:w="2015"/>
            <w:shd w:fill="2E4057"/>
          </w:tcPr>
          <w:p>
            <w:pPr>
              <w:jc w:val="center"/>
            </w:pPr>
            <w:r/>
            <w:r>
              <w:rPr>
                <w:rFonts w:ascii="Times New Roman" w:hAnsi="Times New Roman"/>
                <w:b/>
                <w:color w:val="FFFFFF"/>
                <w:sz w:val="16"/>
              </w:rPr>
              <w:t>Upload</w:t>
            </w:r>
          </w:p>
        </w:tc>
        <w:tc>
          <w:tcPr>
            <w:tcW w:type="dxa" w:w="2015"/>
            <w:shd w:fill="2E4057"/>
          </w:tcPr>
          <w:p>
            <w:pPr>
              <w:jc w:val="center"/>
            </w:pPr>
            <w:r/>
            <w:r>
              <w:rPr>
                <w:rFonts w:ascii="Times New Roman" w:hAnsi="Times New Roman"/>
                <w:b/>
                <w:color w:val="FFFFFF"/>
                <w:sz w:val="16"/>
              </w:rPr>
              <w:t>Inference</w:t>
            </w:r>
          </w:p>
        </w:tc>
        <w:tc>
          <w:tcPr>
            <w:tcW w:type="dxa" w:w="2015"/>
            <w:shd w:fill="2E4057"/>
          </w:tcPr>
          <w:p>
            <w:pPr>
              <w:jc w:val="center"/>
            </w:pPr>
            <w:r/>
            <w:r>
              <w:rPr>
                <w:rFonts w:ascii="Times New Roman" w:hAnsi="Times New Roman"/>
                <w:b/>
                <w:color w:val="FFFFFF"/>
                <w:sz w:val="16"/>
              </w:rPr>
              <w:t>Total</w:t>
            </w:r>
          </w:p>
        </w:tc>
      </w:tr>
      <w:tr>
        <w:tc>
          <w:tcPr>
            <w:tcW w:type="dxa" w:w="2015"/>
            <w:shd w:fill="EDF2F7"/>
          </w:tcPr>
          <w:p>
            <w:pPr>
              <w:jc w:val="center"/>
            </w:pPr>
            <w:r/>
            <w:r>
              <w:rPr>
                <w:rFonts w:ascii="Times New Roman" w:hAnsi="Times New Roman"/>
                <w:sz w:val="16"/>
              </w:rPr>
              <w:t>100 KB</w:t>
            </w:r>
          </w:p>
        </w:tc>
        <w:tc>
          <w:tcPr>
            <w:tcW w:type="dxa" w:w="2015"/>
            <w:shd w:fill="EDF2F7"/>
          </w:tcPr>
          <w:p>
            <w:pPr>
              <w:jc w:val="center"/>
            </w:pPr>
            <w:r/>
            <w:r>
              <w:rPr>
                <w:rFonts w:ascii="Times New Roman" w:hAnsi="Times New Roman"/>
                <w:sz w:val="16"/>
              </w:rPr>
              <w:t>100</w:t>
            </w:r>
          </w:p>
        </w:tc>
        <w:tc>
          <w:tcPr>
            <w:tcW w:type="dxa" w:w="2015"/>
            <w:shd w:fill="EDF2F7"/>
          </w:tcPr>
          <w:p>
            <w:pPr>
              <w:jc w:val="center"/>
            </w:pPr>
            <w:r/>
            <w:r>
              <w:rPr>
                <w:rFonts w:ascii="Times New Roman" w:hAnsi="Times New Roman"/>
                <w:sz w:val="16"/>
              </w:rPr>
              <w:t>0.2 s</w:t>
            </w:r>
          </w:p>
        </w:tc>
        <w:tc>
          <w:tcPr>
            <w:tcW w:type="dxa" w:w="2015"/>
            <w:shd w:fill="EDF2F7"/>
          </w:tcPr>
          <w:p>
            <w:pPr>
              <w:jc w:val="center"/>
            </w:pPr>
            <w:r/>
            <w:r>
              <w:rPr>
                <w:rFonts w:ascii="Times New Roman" w:hAnsi="Times New Roman"/>
                <w:sz w:val="16"/>
              </w:rPr>
              <w:t>1.5 s</w:t>
            </w:r>
          </w:p>
        </w:tc>
        <w:tc>
          <w:tcPr>
            <w:tcW w:type="dxa" w:w="2015"/>
            <w:shd w:fill="EDF2F7"/>
          </w:tcPr>
          <w:p>
            <w:pPr>
              <w:jc w:val="center"/>
            </w:pPr>
            <w:r/>
            <w:r>
              <w:rPr>
                <w:rFonts w:ascii="Times New Roman" w:hAnsi="Times New Roman"/>
                <w:sz w:val="16"/>
              </w:rPr>
              <w:t>~1.8 s</w:t>
            </w:r>
          </w:p>
        </w:tc>
      </w:tr>
      <w:tr>
        <w:tc>
          <w:tcPr>
            <w:tcW w:type="dxa" w:w="2015"/>
          </w:tcPr>
          <w:p>
            <w:pPr>
              <w:jc w:val="center"/>
            </w:pPr>
            <w:r/>
            <w:r>
              <w:rPr>
                <w:rFonts w:ascii="Times New Roman" w:hAnsi="Times New Roman"/>
                <w:sz w:val="16"/>
              </w:rPr>
              <w:t>1 MB</w:t>
            </w:r>
          </w:p>
        </w:tc>
        <w:tc>
          <w:tcPr>
            <w:tcW w:type="dxa" w:w="2015"/>
          </w:tcPr>
          <w:p>
            <w:pPr>
              <w:jc w:val="center"/>
            </w:pPr>
            <w:r/>
            <w:r>
              <w:rPr>
                <w:rFonts w:ascii="Times New Roman" w:hAnsi="Times New Roman"/>
                <w:sz w:val="16"/>
              </w:rPr>
              <w:t>10 000</w:t>
            </w:r>
          </w:p>
        </w:tc>
        <w:tc>
          <w:tcPr>
            <w:tcW w:type="dxa" w:w="2015"/>
          </w:tcPr>
          <w:p>
            <w:pPr>
              <w:jc w:val="center"/>
            </w:pPr>
            <w:r/>
            <w:r>
              <w:rPr>
                <w:rFonts w:ascii="Times New Roman" w:hAnsi="Times New Roman"/>
                <w:sz w:val="16"/>
              </w:rPr>
              <w:t>0.8 s</w:t>
            </w:r>
          </w:p>
        </w:tc>
        <w:tc>
          <w:tcPr>
            <w:tcW w:type="dxa" w:w="2015"/>
          </w:tcPr>
          <w:p>
            <w:pPr>
              <w:jc w:val="center"/>
            </w:pPr>
            <w:r/>
            <w:r>
              <w:rPr>
                <w:rFonts w:ascii="Times New Roman" w:hAnsi="Times New Roman"/>
                <w:sz w:val="16"/>
              </w:rPr>
              <w:t>1.6 s</w:t>
            </w:r>
          </w:p>
        </w:tc>
        <w:tc>
          <w:tcPr>
            <w:tcW w:type="dxa" w:w="2015"/>
          </w:tcPr>
          <w:p>
            <w:pPr>
              <w:jc w:val="center"/>
            </w:pPr>
            <w:r/>
            <w:r>
              <w:rPr>
                <w:rFonts w:ascii="Times New Roman" w:hAnsi="Times New Roman"/>
                <w:sz w:val="16"/>
              </w:rPr>
              <w:t>~2.8 s</w:t>
            </w:r>
          </w:p>
        </w:tc>
      </w:tr>
      <w:tr>
        <w:tc>
          <w:tcPr>
            <w:tcW w:type="dxa" w:w="2015"/>
            <w:shd w:fill="EDF2F7"/>
          </w:tcPr>
          <w:p>
            <w:pPr>
              <w:jc w:val="center"/>
            </w:pPr>
            <w:r/>
            <w:r>
              <w:rPr>
                <w:rFonts w:ascii="Times New Roman" w:hAnsi="Times New Roman"/>
                <w:sz w:val="16"/>
              </w:rPr>
              <w:t>10 MB</w:t>
            </w:r>
          </w:p>
        </w:tc>
        <w:tc>
          <w:tcPr>
            <w:tcW w:type="dxa" w:w="2015"/>
            <w:shd w:fill="EDF2F7"/>
          </w:tcPr>
          <w:p>
            <w:pPr>
              <w:jc w:val="center"/>
            </w:pPr>
            <w:r/>
            <w:r>
              <w:rPr>
                <w:rFonts w:ascii="Times New Roman" w:hAnsi="Times New Roman"/>
                <w:sz w:val="16"/>
              </w:rPr>
              <w:t>100 000</w:t>
            </w:r>
          </w:p>
        </w:tc>
        <w:tc>
          <w:tcPr>
            <w:tcW w:type="dxa" w:w="2015"/>
            <w:shd w:fill="EDF2F7"/>
          </w:tcPr>
          <w:p>
            <w:pPr>
              <w:jc w:val="center"/>
            </w:pPr>
            <w:r/>
            <w:r>
              <w:rPr>
                <w:rFonts w:ascii="Times New Roman" w:hAnsi="Times New Roman"/>
                <w:sz w:val="16"/>
              </w:rPr>
              <w:t>2.5 s</w:t>
            </w:r>
          </w:p>
        </w:tc>
        <w:tc>
          <w:tcPr>
            <w:tcW w:type="dxa" w:w="2015"/>
            <w:shd w:fill="EDF2F7"/>
          </w:tcPr>
          <w:p>
            <w:pPr>
              <w:jc w:val="center"/>
            </w:pPr>
            <w:r/>
            <w:r>
              <w:rPr>
                <w:rFonts w:ascii="Times New Roman" w:hAnsi="Times New Roman"/>
                <w:sz w:val="16"/>
              </w:rPr>
              <w:t>1.6 s</w:t>
            </w:r>
          </w:p>
        </w:tc>
        <w:tc>
          <w:tcPr>
            <w:tcW w:type="dxa" w:w="2015"/>
            <w:shd w:fill="EDF2F7"/>
          </w:tcPr>
          <w:p>
            <w:pPr>
              <w:jc w:val="center"/>
            </w:pPr>
            <w:r/>
            <w:r>
              <w:rPr>
                <w:rFonts w:ascii="Times New Roman" w:hAnsi="Times New Roman"/>
                <w:sz w:val="16"/>
              </w:rPr>
              <w:t>~5.1 s</w:t>
            </w:r>
          </w:p>
        </w:tc>
      </w:tr>
      <w:tr>
        <w:tc>
          <w:tcPr>
            <w:tcW w:type="dxa" w:w="2015"/>
          </w:tcPr>
          <w:p>
            <w:pPr>
              <w:jc w:val="center"/>
            </w:pPr>
            <w:r/>
            <w:r>
              <w:rPr>
                <w:rFonts w:ascii="Times New Roman" w:hAnsi="Times New Roman"/>
                <w:sz w:val="16"/>
              </w:rPr>
              <w:t>100 MB</w:t>
            </w:r>
          </w:p>
        </w:tc>
        <w:tc>
          <w:tcPr>
            <w:tcW w:type="dxa" w:w="2015"/>
          </w:tcPr>
          <w:p>
            <w:pPr>
              <w:jc w:val="center"/>
            </w:pPr>
            <w:r/>
            <w:r>
              <w:rPr>
                <w:rFonts w:ascii="Times New Roman" w:hAnsi="Times New Roman"/>
                <w:sz w:val="16"/>
              </w:rPr>
              <w:t>1 000 000</w:t>
            </w:r>
          </w:p>
        </w:tc>
        <w:tc>
          <w:tcPr>
            <w:tcW w:type="dxa" w:w="2015"/>
          </w:tcPr>
          <w:p>
            <w:pPr>
              <w:jc w:val="center"/>
            </w:pPr>
            <w:r/>
            <w:r>
              <w:rPr>
                <w:rFonts w:ascii="Times New Roman" w:hAnsi="Times New Roman"/>
                <w:sz w:val="16"/>
              </w:rPr>
              <w:t>8.0 s</w:t>
            </w:r>
          </w:p>
        </w:tc>
        <w:tc>
          <w:tcPr>
            <w:tcW w:type="dxa" w:w="2015"/>
          </w:tcPr>
          <w:p>
            <w:pPr>
              <w:jc w:val="center"/>
            </w:pPr>
            <w:r/>
            <w:r>
              <w:rPr>
                <w:rFonts w:ascii="Times New Roman" w:hAnsi="Times New Roman"/>
                <w:sz w:val="16"/>
              </w:rPr>
              <w:t>1.6 s</w:t>
            </w:r>
          </w:p>
        </w:tc>
        <w:tc>
          <w:tcPr>
            <w:tcW w:type="dxa" w:w="2015"/>
          </w:tcPr>
          <w:p>
            <w:pPr>
              <w:jc w:val="center"/>
            </w:pPr>
            <w:r/>
            <w:r>
              <w:rPr>
                <w:rFonts w:ascii="Times New Roman" w:hAnsi="Times New Roman"/>
                <w:sz w:val="16"/>
              </w:rPr>
              <w:t>~12.2 s</w:t>
            </w:r>
          </w:p>
        </w:tc>
      </w:tr>
    </w:tbl>
    <w:p>
      <w:pPr>
        <w:spacing w:after="160"/>
      </w:pPr>
    </w:p>
    <w:p>
      <w:pPr>
        <w:spacing w:before="160" w:after="80"/>
        <w:jc w:val="center"/>
      </w:pPr>
      <w:r>
        <w:drawing>
          <wp:inline xmlns:a="http://schemas.openxmlformats.org/drawingml/2006/main" xmlns:pic="http://schemas.openxmlformats.org/drawingml/2006/picture">
            <wp:extent cx="4389120" cy="2017098"/>
            <wp:docPr id="7" name="Picture 7"/>
            <wp:cNvGraphicFramePr>
              <a:graphicFrameLocks noChangeAspect="1"/>
            </wp:cNvGraphicFramePr>
            <a:graphic>
              <a:graphicData uri="http://schemas.openxmlformats.org/drawingml/2006/picture">
                <pic:pic>
                  <pic:nvPicPr>
                    <pic:cNvPr id="0" name="page57_img2_1249x574.jpeg"/>
                    <pic:cNvPicPr/>
                  </pic:nvPicPr>
                  <pic:blipFill>
                    <a:blip r:embed="rId15"/>
                    <a:stretch>
                      <a:fillRect/>
                    </a:stretch>
                  </pic:blipFill>
                  <pic:spPr>
                    <a:xfrm>
                      <a:off x="0" y="0"/>
                      <a:ext cx="4389120" cy="2017098"/>
                    </a:xfrm>
                    <a:prstGeom prst="rect"/>
                  </pic:spPr>
                </pic:pic>
              </a:graphicData>
            </a:graphic>
          </wp:inline>
        </w:drawing>
      </w:r>
    </w:p>
    <w:p>
      <w:pPr>
        <w:spacing w:after="160"/>
        <w:jc w:val="center"/>
      </w:pPr>
      <w:r>
        <w:rPr>
          <w:rFonts w:ascii="Times New Roman" w:hAnsi="Times New Roman"/>
          <w:sz w:val="16"/>
        </w:rPr>
        <w:t>Fig. 7. A completed query showing the English question, the generated SQL, the result table, and the download button.</w:t>
      </w:r>
    </w:p>
    <w:p>
      <w:pPr>
        <w:spacing w:before="160" w:after="80"/>
      </w:pPr>
      <w:r>
        <w:rPr>
          <w:rFonts w:ascii="Times New Roman" w:hAnsi="Times New Roman"/>
          <w:b/>
          <w:i/>
          <w:sz w:val="20"/>
        </w:rPr>
        <w:t>4.3 Functional Test Results</w:t>
      </w:r>
    </w:p>
    <w:p>
      <w:pPr>
        <w:spacing w:after="80" w:line="240" w:lineRule="auto"/>
        <w:ind w:firstLine="283"/>
        <w:jc w:val="both"/>
      </w:pPr>
      <w:r>
        <w:rPr>
          <w:rFonts w:ascii="Times New Roman" w:hAnsi="Times New Roman"/>
          <w:sz w:val="20"/>
        </w:rPr>
        <w:t>We ran a battery of representative queries across multiple datasets; Table III lists a sample. Every case with a clearly worded question and cleanly labelled columns returned the right answer. When we deliberately asked about a column that did not exist, the system caught DuckDB’s error and showed a helpful message instead of crashing.</w:t>
      </w:r>
    </w:p>
    <w:p>
      <w:pPr>
        <w:spacing w:before="160" w:after="80"/>
        <w:jc w:val="center"/>
      </w:pPr>
      <w:r>
        <w:rPr>
          <w:rFonts w:ascii="Times New Roman" w:hAnsi="Times New Roman"/>
          <w:b/>
          <w:sz w:val="16"/>
        </w:rPr>
        <w:t>TABLE III: SAMPLE FUNCTIONAL TEST CASES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shd w:fill="2E4057"/>
          </w:tcPr>
          <w:p>
            <w:pPr>
              <w:jc w:val="center"/>
            </w:pPr>
            <w:r/>
            <w:r>
              <w:rPr>
                <w:rFonts w:ascii="Times New Roman" w:hAnsi="Times New Roman"/>
                <w:b/>
                <w:color w:val="FFFFFF"/>
                <w:sz w:val="16"/>
              </w:rPr>
              <w:t>Question (English)</w:t>
            </w:r>
          </w:p>
        </w:tc>
        <w:tc>
          <w:tcPr>
            <w:tcW w:type="dxa" w:w="2518"/>
            <w:shd w:fill="2E4057"/>
          </w:tcPr>
          <w:p>
            <w:pPr>
              <w:jc w:val="center"/>
            </w:pPr>
            <w:r/>
            <w:r>
              <w:rPr>
                <w:rFonts w:ascii="Times New Roman" w:hAnsi="Times New Roman"/>
                <w:b/>
                <w:color w:val="FFFFFF"/>
                <w:sz w:val="16"/>
              </w:rPr>
              <w:t>File</w:t>
            </w:r>
          </w:p>
        </w:tc>
        <w:tc>
          <w:tcPr>
            <w:tcW w:type="dxa" w:w="2518"/>
            <w:shd w:fill="2E4057"/>
          </w:tcPr>
          <w:p>
            <w:pPr>
              <w:jc w:val="center"/>
            </w:pPr>
            <w:r/>
            <w:r>
              <w:rPr>
                <w:rFonts w:ascii="Times New Roman" w:hAnsi="Times New Roman"/>
                <w:b/>
                <w:color w:val="FFFFFF"/>
                <w:sz w:val="16"/>
              </w:rPr>
              <w:t>Expected SQL Pattern</w:t>
            </w:r>
          </w:p>
        </w:tc>
        <w:tc>
          <w:tcPr>
            <w:tcW w:type="dxa" w:w="2518"/>
            <w:shd w:fill="2E4057"/>
          </w:tcPr>
          <w:p>
            <w:pPr>
              <w:jc w:val="center"/>
            </w:pPr>
            <w:r/>
            <w:r>
              <w:rPr>
                <w:rFonts w:ascii="Times New Roman" w:hAnsi="Times New Roman"/>
                <w:b/>
                <w:color w:val="FFFFFF"/>
                <w:sz w:val="16"/>
              </w:rPr>
              <w:t>Result</w:t>
            </w:r>
          </w:p>
        </w:tc>
      </w:tr>
      <w:tr>
        <w:tc>
          <w:tcPr>
            <w:tcW w:type="dxa" w:w="2518"/>
            <w:shd w:fill="EDF2F7"/>
          </w:tcPr>
          <w:p>
            <w:pPr>
              <w:jc w:val="center"/>
            </w:pPr>
            <w:r/>
            <w:r>
              <w:rPr>
                <w:rFonts w:ascii="Times New Roman" w:hAnsi="Times New Roman"/>
                <w:sz w:val="16"/>
              </w:rPr>
              <w:t>"Show me all student names"</w:t>
            </w:r>
          </w:p>
        </w:tc>
        <w:tc>
          <w:tcPr>
            <w:tcW w:type="dxa" w:w="2518"/>
            <w:shd w:fill="EDF2F7"/>
          </w:tcPr>
          <w:p>
            <w:pPr>
              <w:jc w:val="center"/>
            </w:pPr>
            <w:r/>
            <w:r>
              <w:rPr>
                <w:rFonts w:ascii="Times New Roman" w:hAnsi="Times New Roman"/>
                <w:sz w:val="16"/>
              </w:rPr>
              <w:t>students.csv</w:t>
            </w:r>
          </w:p>
        </w:tc>
        <w:tc>
          <w:tcPr>
            <w:tcW w:type="dxa" w:w="2518"/>
            <w:shd w:fill="EDF2F7"/>
          </w:tcPr>
          <w:p>
            <w:pPr>
              <w:jc w:val="center"/>
            </w:pPr>
            <w:r/>
            <w:r>
              <w:rPr>
                <w:rFonts w:ascii="Times New Roman" w:hAnsi="Times New Roman"/>
                <w:sz w:val="16"/>
              </w:rPr>
              <w:t>SELECT name FROM …</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"Students with marks above 80"</w:t>
            </w:r>
          </w:p>
        </w:tc>
        <w:tc>
          <w:tcPr>
            <w:tcW w:type="dxa" w:w="2518"/>
          </w:tcPr>
          <w:p>
            <w:pPr>
              <w:jc w:val="center"/>
            </w:pPr>
            <w:r/>
            <w:r>
              <w:rPr>
                <w:rFonts w:ascii="Times New Roman" w:hAnsi="Times New Roman"/>
                <w:sz w:val="16"/>
              </w:rPr>
              <w:t>students.csv</w:t>
            </w:r>
          </w:p>
        </w:tc>
        <w:tc>
          <w:tcPr>
            <w:tcW w:type="dxa" w:w="2518"/>
          </w:tcPr>
          <w:p>
            <w:pPr>
              <w:jc w:val="center"/>
            </w:pPr>
            <w:r/>
            <w:r>
              <w:rPr>
                <w:rFonts w:ascii="Times New Roman" w:hAnsi="Times New Roman"/>
                <w:sz w:val="16"/>
              </w:rPr>
              <w:t>WHERE marks &gt; 80</w:t>
            </w:r>
          </w:p>
        </w:tc>
        <w:tc>
          <w:tcPr>
            <w:tcW w:type="dxa" w:w="2518"/>
          </w:tcPr>
          <w:p>
            <w:pPr>
              <w:jc w:val="center"/>
            </w:pPr>
            <w:r/>
            <w:r>
              <w:rPr>
                <w:rFonts w:ascii="Times New Roman" w:hAnsi="Times New Roman"/>
                <w:sz w:val="16"/>
              </w:rPr>
              <w:t>PASS</w:t>
            </w:r>
          </w:p>
        </w:tc>
      </w:tr>
      <w:tr>
        <w:tc>
          <w:tcPr>
            <w:tcW w:type="dxa" w:w="2518"/>
            <w:shd w:fill="EDF2F7"/>
          </w:tcPr>
          <w:p>
            <w:pPr>
              <w:jc w:val="center"/>
            </w:pPr>
            <w:r/>
            <w:r>
              <w:rPr>
                <w:rFonts w:ascii="Times New Roman" w:hAnsi="Times New Roman"/>
                <w:sz w:val="16"/>
              </w:rPr>
              <w:t>"Employees in the IT department"</w:t>
            </w:r>
          </w:p>
        </w:tc>
        <w:tc>
          <w:tcPr>
            <w:tcW w:type="dxa" w:w="2518"/>
            <w:shd w:fill="EDF2F7"/>
          </w:tcPr>
          <w:p>
            <w:pPr>
              <w:jc w:val="center"/>
            </w:pPr>
            <w:r/>
            <w:r>
              <w:rPr>
                <w:rFonts w:ascii="Times New Roman" w:hAnsi="Times New Roman"/>
                <w:sz w:val="16"/>
              </w:rPr>
              <w:t>employees.csv</w:t>
            </w:r>
          </w:p>
        </w:tc>
        <w:tc>
          <w:tcPr>
            <w:tcW w:type="dxa" w:w="2518"/>
            <w:shd w:fill="EDF2F7"/>
          </w:tcPr>
          <w:p>
            <w:pPr>
              <w:jc w:val="center"/>
            </w:pPr>
            <w:r/>
            <w:r>
              <w:rPr>
                <w:rFonts w:ascii="Times New Roman" w:hAnsi="Times New Roman"/>
                <w:sz w:val="16"/>
              </w:rPr>
              <w:t>WHERE dept = 'IT'</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"Average salary"</w:t>
            </w:r>
          </w:p>
        </w:tc>
        <w:tc>
          <w:tcPr>
            <w:tcW w:type="dxa" w:w="2518"/>
          </w:tcPr>
          <w:p>
            <w:pPr>
              <w:jc w:val="center"/>
            </w:pPr>
            <w:r/>
            <w:r>
              <w:rPr>
                <w:rFonts w:ascii="Times New Roman" w:hAnsi="Times New Roman"/>
                <w:sz w:val="16"/>
              </w:rPr>
              <w:t>employees.csv</w:t>
            </w:r>
          </w:p>
        </w:tc>
        <w:tc>
          <w:tcPr>
            <w:tcW w:type="dxa" w:w="2518"/>
          </w:tcPr>
          <w:p>
            <w:pPr>
              <w:jc w:val="center"/>
            </w:pPr>
            <w:r/>
            <w:r>
              <w:rPr>
                <w:rFonts w:ascii="Times New Roman" w:hAnsi="Times New Roman"/>
                <w:sz w:val="16"/>
              </w:rPr>
              <w:t>SELECT AVG(salary)</w:t>
            </w:r>
          </w:p>
        </w:tc>
        <w:tc>
          <w:tcPr>
            <w:tcW w:type="dxa" w:w="2518"/>
          </w:tcPr>
          <w:p>
            <w:pPr>
              <w:jc w:val="center"/>
            </w:pPr>
            <w:r/>
            <w:r>
              <w:rPr>
                <w:rFonts w:ascii="Times New Roman" w:hAnsi="Times New Roman"/>
                <w:sz w:val="16"/>
              </w:rPr>
              <w:t>PASS</w:t>
            </w:r>
          </w:p>
        </w:tc>
      </w:tr>
      <w:tr>
        <w:tc>
          <w:tcPr>
            <w:tcW w:type="dxa" w:w="2518"/>
            <w:shd w:fill="EDF2F7"/>
          </w:tcPr>
          <w:p>
            <w:pPr>
              <w:jc w:val="center"/>
            </w:pPr>
            <w:r/>
            <w:r>
              <w:rPr>
                <w:rFonts w:ascii="Times New Roman" w:hAnsi="Times New Roman"/>
                <w:sz w:val="16"/>
              </w:rPr>
              <w:t>"Highest marks"</w:t>
            </w:r>
          </w:p>
        </w:tc>
        <w:tc>
          <w:tcPr>
            <w:tcW w:type="dxa" w:w="2518"/>
            <w:shd w:fill="EDF2F7"/>
          </w:tcPr>
          <w:p>
            <w:pPr>
              <w:jc w:val="center"/>
            </w:pPr>
            <w:r/>
            <w:r>
              <w:rPr>
                <w:rFonts w:ascii="Times New Roman" w:hAnsi="Times New Roman"/>
                <w:sz w:val="16"/>
              </w:rPr>
              <w:t>students.csv</w:t>
            </w:r>
          </w:p>
        </w:tc>
        <w:tc>
          <w:tcPr>
            <w:tcW w:type="dxa" w:w="2518"/>
            <w:shd w:fill="EDF2F7"/>
          </w:tcPr>
          <w:p>
            <w:pPr>
              <w:jc w:val="center"/>
            </w:pPr>
            <w:r/>
            <w:r>
              <w:rPr>
                <w:rFonts w:ascii="Times New Roman" w:hAnsi="Times New Roman"/>
                <w:sz w:val="16"/>
              </w:rPr>
              <w:t>ORDER BY marks DESC LIMIT 1</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"Top 3 products by revenue"</w:t>
            </w:r>
          </w:p>
        </w:tc>
        <w:tc>
          <w:tcPr>
            <w:tcW w:type="dxa" w:w="2518"/>
          </w:tcPr>
          <w:p>
            <w:pPr>
              <w:jc w:val="center"/>
            </w:pPr>
            <w:r/>
            <w:r>
              <w:rPr>
                <w:rFonts w:ascii="Times New Roman" w:hAnsi="Times New Roman"/>
                <w:sz w:val="16"/>
              </w:rPr>
              <w:t>sales.csv</w:t>
            </w:r>
          </w:p>
        </w:tc>
        <w:tc>
          <w:tcPr>
            <w:tcW w:type="dxa" w:w="2518"/>
          </w:tcPr>
          <w:p>
            <w:pPr>
              <w:jc w:val="center"/>
            </w:pPr>
            <w:r/>
            <w:r>
              <w:rPr>
                <w:rFonts w:ascii="Times New Roman" w:hAnsi="Times New Roman"/>
                <w:sz w:val="16"/>
              </w:rPr>
              <w:t>ORDER BY revenue DESC LIMIT 3</w:t>
            </w:r>
          </w:p>
        </w:tc>
        <w:tc>
          <w:tcPr>
            <w:tcW w:type="dxa" w:w="2518"/>
          </w:tcPr>
          <w:p>
            <w:pPr>
              <w:jc w:val="center"/>
            </w:pPr>
            <w:r/>
            <w:r>
              <w:rPr>
                <w:rFonts w:ascii="Times New Roman" w:hAnsi="Times New Roman"/>
                <w:sz w:val="16"/>
              </w:rPr>
              <w:t>PASS</w:t>
            </w:r>
          </w:p>
        </w:tc>
      </w:tr>
      <w:tr>
        <w:tc>
          <w:tcPr>
            <w:tcW w:type="dxa" w:w="2518"/>
            <w:shd w:fill="EDF2F7"/>
          </w:tcPr>
          <w:p>
            <w:pPr>
              <w:jc w:val="center"/>
            </w:pPr>
            <w:r/>
            <w:r>
              <w:rPr>
                <w:rFonts w:ascii="Times New Roman" w:hAnsi="Times New Roman"/>
                <w:sz w:val="16"/>
              </w:rPr>
              <w:t>"Count per department"</w:t>
            </w:r>
          </w:p>
        </w:tc>
        <w:tc>
          <w:tcPr>
            <w:tcW w:type="dxa" w:w="2518"/>
            <w:shd w:fill="EDF2F7"/>
          </w:tcPr>
          <w:p>
            <w:pPr>
              <w:jc w:val="center"/>
            </w:pPr>
            <w:r/>
            <w:r>
              <w:rPr>
                <w:rFonts w:ascii="Times New Roman" w:hAnsi="Times New Roman"/>
                <w:sz w:val="16"/>
              </w:rPr>
              <w:t>employees.csv</w:t>
            </w:r>
          </w:p>
        </w:tc>
        <w:tc>
          <w:tcPr>
            <w:tcW w:type="dxa" w:w="2518"/>
            <w:shd w:fill="EDF2F7"/>
          </w:tcPr>
          <w:p>
            <w:pPr>
              <w:jc w:val="center"/>
            </w:pPr>
            <w:r/>
            <w:r>
              <w:rPr>
                <w:rFonts w:ascii="Times New Roman" w:hAnsi="Times New Roman"/>
                <w:sz w:val="16"/>
              </w:rPr>
              <w:t>GROUP BY dept</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"Total sales in January"</w:t>
            </w:r>
          </w:p>
        </w:tc>
        <w:tc>
          <w:tcPr>
            <w:tcW w:type="dxa" w:w="2518"/>
          </w:tcPr>
          <w:p>
            <w:pPr>
              <w:jc w:val="center"/>
            </w:pPr>
            <w:r/>
            <w:r>
              <w:rPr>
                <w:rFonts w:ascii="Times New Roman" w:hAnsi="Times New Roman"/>
                <w:sz w:val="16"/>
              </w:rPr>
              <w:t>sales.csv</w:t>
            </w:r>
          </w:p>
        </w:tc>
        <w:tc>
          <w:tcPr>
            <w:tcW w:type="dxa" w:w="2518"/>
          </w:tcPr>
          <w:p>
            <w:pPr>
              <w:jc w:val="center"/>
            </w:pPr>
            <w:r/>
            <w:r>
              <w:rPr>
                <w:rFonts w:ascii="Times New Roman" w:hAnsi="Times New Roman"/>
                <w:sz w:val="16"/>
              </w:rPr>
              <w:t>SUM(…) WHERE month='January'</w:t>
            </w:r>
          </w:p>
        </w:tc>
        <w:tc>
          <w:tcPr>
            <w:tcW w:type="dxa" w:w="2518"/>
          </w:tcPr>
          <w:p>
            <w:pPr>
              <w:jc w:val="center"/>
            </w:pPr>
            <w:r/>
            <w:r>
              <w:rPr>
                <w:rFonts w:ascii="Times New Roman" w:hAnsi="Times New Roman"/>
                <w:sz w:val="16"/>
              </w:rPr>
              <w:t>PASS</w:t>
            </w:r>
          </w:p>
        </w:tc>
      </w:tr>
    </w:tbl>
    <w:p>
      <w:pPr>
        <w:spacing w:after="160"/>
      </w:pPr>
    </w:p>
    <w:p>
      <w:pPr>
        <w:spacing w:before="160" w:after="80"/>
      </w:pPr>
      <w:r>
        <w:rPr>
          <w:rFonts w:ascii="Times New Roman" w:hAnsi="Times New Roman"/>
          <w:b/>
          <w:i/>
          <w:sz w:val="20"/>
        </w:rPr>
        <w:t>4.4 Security Testing</w:t>
      </w:r>
    </w:p>
    <w:p>
      <w:pPr>
        <w:spacing w:after="80" w:line="240" w:lineRule="auto"/>
        <w:ind w:firstLine="283"/>
        <w:jc w:val="both"/>
      </w:pPr>
      <w:r>
        <w:rPr>
          <w:rFonts w:ascii="Times New Roman" w:hAnsi="Times New Roman"/>
          <w:sz w:val="20"/>
        </w:rPr>
        <w:t>We tried every destructive keyword we could think of—DROP TABLE, DELETE FROM, ALTER TABLE—and also classic injection strings like "'; DROP TABLE uploaded_data; --". The safety filter caught them all. Not a single destructive statement made it through to DuckDB. Since the filter uses a whitelist (only SELECT is allowed) rather than a blacklist, even novel attack patterns that we had not explicitly anticipated were rejected.</w:t>
      </w:r>
    </w:p>
    <w:p>
      <w:pPr>
        <w:spacing w:before="160" w:after="80"/>
      </w:pPr>
      <w:r>
        <w:rPr>
          <w:rFonts w:ascii="Times New Roman" w:hAnsi="Times New Roman"/>
          <w:b/>
          <w:i/>
          <w:sz w:val="20"/>
        </w:rPr>
        <w:t>4.5 What Did Real Users Think?</w:t>
      </w:r>
    </w:p>
    <w:p>
      <w:pPr>
        <w:spacing w:after="80" w:line="240" w:lineRule="auto"/>
        <w:ind w:firstLine="283"/>
        <w:jc w:val="both"/>
      </w:pPr>
      <w:r>
        <w:rPr>
          <w:rFonts w:ascii="Times New Roman" w:hAnsi="Times New Roman"/>
          <w:sz w:val="20"/>
        </w:rPr>
        <w:t>We asked three people with no SQL background to try the system: a secondary-school teacher analysing student marks, a sales manager exploring quarterly revenue, and an HR officer comparing department head-counts. Each person received a relevant CSV and five tasks. All three finished every task without help. The teacher gave usability a perfect 5 out of 5 and said the tool would save her hours each exam season.</w:t>
      </w:r>
    </w:p>
    <w:p>
      <w:pPr>
        <w:spacing w:after="80" w:line="240" w:lineRule="auto"/>
        <w:ind w:firstLine="283"/>
        <w:jc w:val="both"/>
      </w:pPr>
      <w:r>
        <w:rPr>
          <w:rFonts w:ascii="Times New Roman" w:hAnsi="Times New Roman"/>
          <w:sz w:val="20"/>
        </w:rPr>
        <w:t>An interesting side-effect of showing the SQL on screen was that participants actually started reading it and learning a little SQL along the way. Several mentioned that they liked being able to see how the system reached its answer—the “glass box” feel made them trust the output more than they would trust a black-box chatbot. Fig. 7 illustrates this transparency in practice.</w:t>
      </w:r>
    </w:p>
    <w:p>
      <w:pPr>
        <w:spacing w:before="160" w:after="80"/>
      </w:pPr>
      <w:r>
        <w:rPr>
          <w:rFonts w:ascii="Times New Roman" w:hAnsi="Times New Roman"/>
          <w:b/>
          <w:i/>
          <w:sz w:val="20"/>
        </w:rPr>
        <w:t>4.6 Broader Observations</w:t>
      </w:r>
    </w:p>
    <w:p>
      <w:pPr>
        <w:spacing w:after="80" w:line="240" w:lineRule="auto"/>
        <w:ind w:firstLine="283"/>
        <w:jc w:val="both"/>
      </w:pPr>
      <w:r>
        <w:rPr>
          <w:rFonts w:ascii="Times New Roman" w:hAnsi="Times New Roman"/>
          <w:sz w:val="20"/>
        </w:rPr>
        <w:t>Taken together, the numbers tell a consistent story. The system is accurate enough for everyday analytics, fast enough to feel interactive, and private enough for regulated environments. The constant-time inference property is especially reassuring because it means we can hand larger files to the same hardware without worrying about a proportional slowdown.</w:t>
      </w:r>
    </w:p>
    <w:p>
      <w:pPr>
        <w:spacing w:after="80" w:line="240" w:lineRule="auto"/>
        <w:ind w:firstLine="283"/>
        <w:jc w:val="both"/>
      </w:pPr>
      <w:r>
        <w:rPr>
          <w:rFonts w:ascii="Times New Roman" w:hAnsi="Times New Roman"/>
          <w:sz w:val="20"/>
        </w:rPr>
        <w:t>Where things did break down was data quality. Columns labelled with abbreviations or containing mixed-language entries confused the model. We partly offset this with ILIKE pattern matching in the generated SQL, but a smarter fuzzy-matching layer would help. Still, for the kind of tidy CSV that most offices export from their software, the current accuracy is more than workable.</w:t>
      </w:r>
    </w:p>
    <w:p>
      <w:pPr>
        <w:spacing w:after="80" w:line="240" w:lineRule="auto"/>
        <w:ind w:firstLine="283"/>
        <w:jc w:val="both"/>
      </w:pPr>
      <w:r>
        <w:rPr>
          <w:rFonts w:ascii="Times New Roman" w:hAnsi="Times New Roman"/>
          <w:sz w:val="20"/>
        </w:rPr>
        <w:t>Compared to cloud services, our system clearly sacrifices raw model power—FLAN-T5-base is orders of magnitude smaller than GPT-4. But it gains something those services cannot offer: certainty that the data never leaves the room. For schools bound by FERPA, hospitals under HIPAA, or European offices navigating GDPR, that certainty is not optional.</w:t>
      </w:r>
    </w:p>
    <w:p>
      <w:pPr>
        <w:spacing w:before="240" w:after="120"/>
      </w:pPr>
      <w:r>
        <w:rPr>
          <w:rFonts w:ascii="Times New Roman" w:hAnsi="Times New Roman"/>
          <w:b/>
          <w:sz w:val="20"/>
        </w:rPr>
        <w:t>5. LIMITATIONS AND FUTURE WORK</w:t>
      </w:r>
    </w:p>
    <w:p>
      <w:pPr>
        <w:spacing w:after="80" w:line="240" w:lineRule="auto"/>
        <w:ind w:firstLine="283"/>
        <w:jc w:val="both"/>
      </w:pPr>
      <w:r>
        <w:rPr>
          <w:rFonts w:ascii="Times New Roman" w:hAnsi="Times New Roman"/>
          <w:sz w:val="20"/>
        </w:rPr>
        <w:t>We are under no illusion that the system is perfect. The 250-million-parameter model struggles with nested sub-queries and multi-table joins—queries that a larger model like FLAN-T5-large (780 M parameters) or a quantised Llama variant [8] would likely handle better. Right now the tool only works with a single CSV at a time; adding multi-file support with automatic foreign-key detection is a natural next step.</w:t>
      </w:r>
    </w:p>
    <w:p>
      <w:pPr>
        <w:spacing w:after="80" w:line="240" w:lineRule="auto"/>
        <w:ind w:firstLine="283"/>
        <w:jc w:val="both"/>
      </w:pPr>
      <w:r>
        <w:rPr>
          <w:rFonts w:ascii="Times New Roman" w:hAnsi="Times New Roman"/>
          <w:sz w:val="20"/>
        </w:rPr>
        <w:t>On the interface side, we would like to generate charts automatically from the result set—a bar chart of department counts, for instance—so that insights pop out without the user having to eyeball a table. Voice input is another possibility that could make the tool even more accessible. Finally, packaging everything into a Docker container would let institutions deploy it on an internal server with minimal setup, rather than asking each user to install Python.</w:t>
      </w:r>
    </w:p>
    <w:p>
      <w:pPr>
        <w:spacing w:after="80" w:line="240" w:lineRule="auto"/>
        <w:ind w:firstLine="283"/>
        <w:jc w:val="both"/>
      </w:pPr>
      <w:r>
        <w:rPr>
          <w:rFonts w:ascii="Times New Roman" w:hAnsi="Times New Roman"/>
          <w:sz w:val="20"/>
        </w:rPr>
        <w:t>Longer-term, fine-tuning the model on domain-specific datasets (medical terminology, financial jargon) and adding conversation memory so users can ask follow-up questions ("Now filter that by region") would move the system closer to a full-fledged analytical co-pilot.</w:t>
      </w:r>
    </w:p>
    <w:p>
      <w:pPr>
        <w:spacing w:before="240" w:after="120"/>
      </w:pPr>
      <w:r>
        <w:rPr>
          <w:rFonts w:ascii="Times New Roman" w:hAnsi="Times New Roman"/>
          <w:b/>
          <w:sz w:val="20"/>
        </w:rPr>
        <w:t>6. CONCLUSION</w:t>
      </w:r>
    </w:p>
    <w:p>
      <w:pPr>
        <w:spacing w:after="80" w:line="240" w:lineRule="auto"/>
        <w:ind w:firstLine="283"/>
        <w:jc w:val="both"/>
      </w:pPr>
      <w:r>
        <w:rPr>
          <w:rFonts w:ascii="Times New Roman" w:hAnsi="Times New Roman"/>
          <w:sz w:val="20"/>
        </w:rPr>
        <w:t>We have described and evaluated a web-based tool that lets non-technical users query CSV datasets in plain English while keeping every byte of data on local hardware. The combination of FLAN-T5 for SQL generation and DuckDB for high-speed execution proved both accurate and responsive: 85–95 % correct SQL on clean data, sub-second database turnaround even at a million rows, and a steady 1.6-second inference time that does not grow with file size.</w:t>
      </w:r>
    </w:p>
    <w:p>
      <w:pPr>
        <w:spacing w:after="80" w:line="240" w:lineRule="auto"/>
        <w:ind w:firstLine="283"/>
        <w:jc w:val="both"/>
      </w:pPr>
      <w:r>
        <w:rPr>
          <w:rFonts w:ascii="Times New Roman" w:hAnsi="Times New Roman"/>
          <w:sz w:val="20"/>
        </w:rPr>
        <w:t>The security filter blocked every destructive query we threw at it, and three real users with no technical training completed all their tasks successfully. Perhaps the most encouraging outcome was the trust factor—showing the generated SQL turned the tool from a mysterious oracle into something people felt comfortable relying on.</w:t>
      </w:r>
    </w:p>
    <w:p>
      <w:pPr>
        <w:spacing w:after="80" w:line="240" w:lineRule="auto"/>
        <w:ind w:firstLine="283"/>
        <w:jc w:val="both"/>
      </w:pPr>
      <w:r>
        <w:rPr>
          <w:rFonts w:ascii="Times New Roman" w:hAnsi="Times New Roman"/>
          <w:sz w:val="20"/>
        </w:rPr>
        <w:t>By removing both the SQL barrier and the cloud dependency, the system shrinks the path from question to answer from days of IT tickets down to a few seconds of typing. It is lightweight enough for a single laptop, private enough for regulated data, and open enough to extend with better models, more file formats, or visual analytics in future iterations.</w:t>
      </w:r>
    </w:p>
    <w:p>
      <w:pPr>
        <w:spacing w:before="240" w:after="120"/>
      </w:pPr>
      <w:r>
        <w:rPr>
          <w:rFonts w:ascii="Times New Roman" w:hAnsi="Times New Roman"/>
          <w:b/>
          <w:sz w:val="20"/>
        </w:rPr>
        <w:t>7. ACKNOWLEDGMENT</w:t>
      </w:r>
    </w:p>
    <w:p>
      <w:pPr>
        <w:spacing w:after="80" w:line="240" w:lineRule="auto"/>
        <w:ind w:firstLine="283"/>
        <w:jc w:val="both"/>
      </w:pPr>
      <w:r>
        <w:rPr>
          <w:rFonts w:ascii="Times New Roman" w:hAnsi="Times New Roman"/>
          <w:sz w:val="20"/>
        </w:rPr>
        <w:t>We owe a great deal to our guide, Padmapriya H N, Assistant Professor in the Department of CSE (AI &amp; ML) at GSSSIETW, Mysuru, whose steady mentorship shaped this work from start to finish. We are also grateful to Dr. Manjuprasad B (Head of Department) and Dr. Shivakumar M (Principal) for making lab resources available whenever we needed them, and to Dr. Arpitha Shankar S I (Project Coordinator) for her practical advice at every review.</w:t>
      </w:r>
    </w:p>
    <w:p>
      <w:pPr>
        <w:spacing w:before="240" w:after="120"/>
      </w:pPr>
      <w:r>
        <w:rPr>
          <w:rFonts w:ascii="Times New Roman" w:hAnsi="Times New Roman"/>
          <w:b/>
          <w:sz w:val="20"/>
        </w:rPr>
        <w:t>8. REFERENCES</w:t>
      </w:r>
    </w:p>
    <w:p>
      <w:pPr>
        <w:spacing w:after="40" w:line="240" w:lineRule="auto"/>
        <w:ind w:left="283" w:hanging="283"/>
      </w:pPr>
      <w:r>
        <w:rPr>
          <w:rFonts w:ascii="Times New Roman" w:hAnsi="Times New Roman"/>
          <w:sz w:val="16"/>
        </w:rPr>
        <w:t>[1] A. Vaswani, N. Shazeer, N. Parmar, J. Uszkoreit, L. Jones, A. N. Gomez, L. Kaiser, and I. Polosukhin, “Attention is all you need,” in Proc. Advances in Neural Information Processing Systems (NeurIPS), vol. 30, 2017, pp. 5998–6008.</w:t>
      </w:r>
    </w:p>
    <w:p>
      <w:pPr>
        <w:spacing w:after="40" w:line="240" w:lineRule="auto"/>
        <w:ind w:left="283" w:hanging="283"/>
      </w:pPr>
      <w:r>
        <w:rPr>
          <w:rFonts w:ascii="Times New Roman" w:hAnsi="Times New Roman"/>
          <w:sz w:val="16"/>
        </w:rPr>
        <w:t>[2] P. Lewis, E. Perez, A. Piktus, F. Petroni, V. Karpukhin, N. Goyal, H. Küttler, M. Lewis, W.-T. Yih, T. Rocktäschel, S. Riedel, and D. Kiela, “Retrieval-augmented generation for knowledge-intensive NLP tasks,” in Proc. NeurIPS, vol. 33, 2020, pp. 9459–9474.</w:t>
      </w:r>
    </w:p>
    <w:p>
      <w:pPr>
        <w:spacing w:after="40" w:line="240" w:lineRule="auto"/>
        <w:ind w:left="283" w:hanging="283"/>
      </w:pPr>
      <w:r>
        <w:rPr>
          <w:rFonts w:ascii="Times New Roman" w:hAnsi="Times New Roman"/>
          <w:sz w:val="16"/>
        </w:rPr>
        <w:t>[3] H. Touvron, L. Martin, K. Stone, et al., “LLaMA 2: Open foundation and fine-tuned chat models,” arXiv preprint arXiv:2307.09288, Jul. 2023.</w:t>
      </w:r>
    </w:p>
    <w:p>
      <w:pPr>
        <w:spacing w:after="40" w:line="240" w:lineRule="auto"/>
        <w:ind w:left="283" w:hanging="283"/>
      </w:pPr>
      <w:r>
        <w:rPr>
          <w:rFonts w:ascii="Times New Roman" w:hAnsi="Times New Roman"/>
          <w:sz w:val="16"/>
        </w:rPr>
        <w:t>[4] J. Devlin, M.-W. Chang, K. Lee, and K. Toutanova, “BERT: Pre-training of deep bidirectional transformers for language understanding,” in Proc. NAACL-HLT, 2019, pp. 4171–4186.</w:t>
      </w:r>
    </w:p>
    <w:p>
      <w:pPr>
        <w:spacing w:after="40" w:line="240" w:lineRule="auto"/>
        <w:ind w:left="283" w:hanging="283"/>
      </w:pPr>
      <w:r>
        <w:rPr>
          <w:rFonts w:ascii="Times New Roman" w:hAnsi="Times New Roman"/>
          <w:sz w:val="16"/>
        </w:rPr>
        <w:t>[5] N. Carlini, F. Tramèr, E. Wallace, M. Jagielski, A. Herbert-Voss, K. Lee, A. Roberts, T. Brown, D. Song, U. Erlingsson, A. Oprea, and C. Raffel, “Extracting training data from large language models,” in Proc. 30th USENIX Security Symposium, 2021, pp. 2633–2650.</w:t>
      </w:r>
    </w:p>
    <w:p>
      <w:pPr>
        <w:spacing w:after="40" w:line="240" w:lineRule="auto"/>
        <w:ind w:left="283" w:hanging="283"/>
      </w:pPr>
      <w:r>
        <w:rPr>
          <w:rFonts w:ascii="Times New Roman" w:hAnsi="Times New Roman"/>
          <w:sz w:val="16"/>
        </w:rPr>
        <w:t>[6] D. Bahdanau, K. Cho, and Y. Bengio, “Neural machine translation by jointly learning to align and translate,” in Proc. Int. Conf. Learning Representations (ICLR), 2015.</w:t>
      </w:r>
    </w:p>
    <w:p>
      <w:pPr>
        <w:spacing w:after="40" w:line="240" w:lineRule="auto"/>
        <w:ind w:left="283" w:hanging="283"/>
      </w:pPr>
      <w:r>
        <w:rPr>
          <w:rFonts w:ascii="Times New Roman" w:hAnsi="Times New Roman"/>
          <w:sz w:val="16"/>
        </w:rPr>
        <w:t>[7] I. Sutskever, O. Vinyals, and Q. V. Le, “Sequence to sequence learning with neural networks,” in Proc. NeurIPS, vol. 27, 2014, pp. 3104–3112.</w:t>
      </w:r>
    </w:p>
    <w:p>
      <w:pPr>
        <w:spacing w:after="40" w:line="240" w:lineRule="auto"/>
        <w:ind w:left="283" w:hanging="283"/>
      </w:pPr>
      <w:r>
        <w:rPr>
          <w:rFonts w:ascii="Times New Roman" w:hAnsi="Times New Roman"/>
          <w:sz w:val="16"/>
        </w:rPr>
        <w:t>[8] T. Dettmers, A. Pagnoni, A. Holtzman, and L. Zettlemoyer, “QLoRA: Efficient finetuning of quantized LLMs,” in Proc. NeurIPS, 2023.</w:t>
      </w:r>
    </w:p>
    <w:p>
      <w:pPr>
        <w:spacing w:after="40" w:line="240" w:lineRule="auto"/>
        <w:ind w:left="283" w:hanging="283"/>
      </w:pPr>
      <w:r>
        <w:rPr>
          <w:rFonts w:ascii="Times New Roman" w:hAnsi="Times New Roman"/>
          <w:sz w:val="16"/>
        </w:rPr>
        <w:t>[9] N. Reimers and I. Gurevych, “Sentence-BERT: Sentence embeddings using Siamese BERT-networks,” in Proc. EMNLP-IJCNLP, 2019, pp. 3982–3992.</w:t>
      </w:r>
    </w:p>
    <w:p>
      <w:pPr>
        <w:spacing w:after="40" w:line="240" w:lineRule="auto"/>
        <w:ind w:left="283" w:hanging="283"/>
      </w:pPr>
      <w:r>
        <w:rPr>
          <w:rFonts w:ascii="Times New Roman" w:hAnsi="Times New Roman"/>
          <w:sz w:val="16"/>
        </w:rPr>
        <w:t>[10] T. Mikolov, K. Chen, G. Corrado, and J. Dean, “Efficient estimation of word representations in vector space,” in Proc. Int. Conf. Learning Representations (ICLR), 2013.</w:t>
      </w:r>
    </w:p>
    <w:p>
      <w:pPr>
        <w:spacing w:after="40" w:line="240" w:lineRule="auto"/>
        <w:ind w:left="283" w:hanging="283"/>
      </w:pPr>
      <w:r>
        <w:rPr>
          <w:rFonts w:ascii="Times New Roman" w:hAnsi="Times New Roman"/>
          <w:sz w:val="16"/>
        </w:rPr>
        <w:t>[11] L. Xue, N. Constant, A. Roberts, M. Kale, R. Al-Rfou, A. Siddhant, A. Barua, and C. Raffel, “mT5: A massively multilingual pre-trained text-to-text transformer,” in Proc. NAACL-HLT, 2021, pp. 483–498.</w:t>
      </w:r>
    </w:p>
    <w:p>
      <w:pPr>
        <w:spacing w:after="40" w:line="240" w:lineRule="auto"/>
        <w:ind w:left="283" w:hanging="283"/>
      </w:pPr>
      <w:r>
        <w:rPr>
          <w:rFonts w:ascii="Times New Roman" w:hAnsi="Times New Roman"/>
          <w:sz w:val="16"/>
        </w:rPr>
        <w:t>[12] E. J. Hu, Y. Shen, P. Wallis, Z. Allen-Zhu, Y. Li, S. Wang, L. Wang, and W. Chen, “LoRA: Low-rank adaptation of large language models,” in Proc. ICLR, 2022.</w:t>
      </w:r>
    </w:p>
    <w:p>
      <w:pPr>
        <w:spacing w:after="40" w:line="240" w:lineRule="auto"/>
        <w:ind w:left="283" w:hanging="283"/>
      </w:pPr>
      <w:r>
        <w:rPr>
          <w:rFonts w:ascii="Times New Roman" w:hAnsi="Times New Roman"/>
          <w:sz w:val="16"/>
        </w:rPr>
        <w:t>[13] T. Wolf, L. Debut, V. Sanh, J. Chaumond, C. Delangue, A. Moi, P. Cistac, T. Rault, R. Louf, M. Funtowicz, J. Davison, S. Shleifer, P. von Platen, C. Ma, Y. Jernite, J. Plu, C. Xu, T. Le Scao, S. Gugger, M. Drame, Q. Lhoest, and A. Rush, “Transformers: State-of-the-art natural language processing,” in Proc. EMNLP: System Demonstrations, 2020, pp. 38–45.</w:t>
      </w:r>
    </w:p>
    <w:p>
      <w:pPr>
        <w:spacing w:after="40" w:line="240" w:lineRule="auto"/>
        <w:ind w:left="283" w:hanging="283"/>
      </w:pPr>
      <w:r>
        <w:rPr>
          <w:rFonts w:ascii="Times New Roman" w:hAnsi="Times New Roman"/>
          <w:sz w:val="16"/>
        </w:rPr>
        <w:t>[14] M. Abadi, P. Barham, J. Chen, Z. Chen, A. Davis, J. Dean, M. Devin, S. Ghemawat, G. Irving, M. Isard, et al., “TensorFlow: A system for large-scale machine learning,” in Proc. 12th USENIX Symp. Operating Systems Design and Implementation (OSDI), 2016, pp. 265–283.</w:t>
      </w:r>
    </w:p>
    <w:p>
      <w:pPr>
        <w:spacing w:after="40" w:line="240" w:lineRule="auto"/>
        <w:ind w:left="283" w:hanging="283"/>
      </w:pPr>
      <w:r>
        <w:rPr>
          <w:rFonts w:ascii="Times New Roman" w:hAnsi="Times New Roman"/>
          <w:sz w:val="16"/>
        </w:rPr>
        <w:t>[15] F. Pedregosa, G. Varoquaux, A. Gramfort, V. Michel, B. Thirion, O. Grisel, M. Blondel, P. Prettenhofer, R. Weiss, V. Dubourg, J. Vanderplas, A. Passos, D. Cournapeau, M. Brucher, M. Perrot, and E. Duchesnay, “Scikit-learn: Machine learning in Python,” J. Machine Learning Research, vol. 12, pp. 2825–2830, 2011.</w:t>
      </w:r>
    </w:p>
    <w:p>
      <w:pPr>
        <w:spacing w:after="40" w:line="240" w:lineRule="auto"/>
        <w:ind w:left="283" w:hanging="283"/>
      </w:pPr>
      <w:r>
        <w:rPr>
          <w:rFonts w:ascii="Times New Roman" w:hAnsi="Times New Roman"/>
          <w:sz w:val="16"/>
        </w:rPr>
        <w:t>[16] W. McKinney, “Data structures for statistical computing in Python,” in Proc. 9th Python in Science Conf. (SciPy), 2010, pp. 51–56.</w:t>
      </w:r>
    </w:p>
    <w:p>
      <w:pPr>
        <w:spacing w:after="40" w:line="240" w:lineRule="auto"/>
        <w:ind w:left="283" w:hanging="283"/>
      </w:pPr>
      <w:r>
        <w:rPr>
          <w:rFonts w:ascii="Times New Roman" w:hAnsi="Times New Roman"/>
          <w:sz w:val="16"/>
        </w:rPr>
        <w:t>[17] M. Grinberg, Flask Web Development: Developing Web Applications with Python, 2nd ed. Sebastopol, CA, USA: O’Reilly Media, 2018.</w:t>
      </w:r>
    </w:p>
    <w:p>
      <w:pPr>
        <w:spacing w:after="40" w:line="240" w:lineRule="auto"/>
        <w:ind w:left="283" w:hanging="283"/>
      </w:pPr>
      <w:r>
        <w:rPr>
          <w:rFonts w:ascii="Times New Roman" w:hAnsi="Times New Roman"/>
          <w:sz w:val="16"/>
        </w:rPr>
        <w:t>[18] M. Raasveldt and H. Mühleisen, “DuckDB: An embeddable analytical database,” in Proc. ACM SIGMOD Int. Conf. Management of Data, 2019, pp. 1981–1984.</w:t>
      </w:r>
    </w:p>
    <w:p>
      <w:pPr>
        <w:spacing w:after="40" w:line="240" w:lineRule="auto"/>
        <w:ind w:left="283" w:hanging="283"/>
      </w:pPr>
      <w:r>
        <w:rPr>
          <w:rFonts w:ascii="Times New Roman" w:hAnsi="Times New Roman"/>
          <w:sz w:val="16"/>
        </w:rPr>
        <w:t>[19] C. Raffel, N. Shazeer, A. Roberts, K. Lee, S. Narang, M. Matena, Y. Zhou, W. Li, and P. J. Liu, “Exploring the limits of transfer learning with a unified text-to-text transformer,” J. Machine Learning Research, vol. 21, no. 140, pp. 1–67, 2020.</w:t>
      </w:r>
    </w:p>
    <w:p>
      <w:pPr>
        <w:spacing w:after="40" w:line="240" w:lineRule="auto"/>
        <w:ind w:left="283" w:hanging="283"/>
      </w:pPr>
      <w:r>
        <w:rPr>
          <w:rFonts w:ascii="Times New Roman" w:hAnsi="Times New Roman"/>
          <w:sz w:val="16"/>
        </w:rPr>
        <w:t>[20] S. Bird, E. Klein, and E. Loper, Natural Language Processing with Python. Sebastopol, CA, USA: O’Reilly Media, 2009.</w:t>
      </w:r>
    </w:p>
    <w:p>
      <w:pPr>
        <w:spacing w:after="40" w:line="240" w:lineRule="auto"/>
        <w:ind w:left="283" w:hanging="283"/>
      </w:pPr>
      <w:r>
        <w:rPr>
          <w:rFonts w:ascii="Times New Roman" w:hAnsi="Times New Roman"/>
          <w:sz w:val="16"/>
        </w:rPr>
        <w:t>[21] A. Paszke, S. Gross, F. Massa, A. Lerer, J. Bradbury, G. Chanan, T. Killeen, Z. Lin, N. Gimelshein, L. Antiga, A. Desmaison, A. Kopf, E. Yang, Z. DeVito, M. Raison, A. Tejani, S. Chilamkurthy, B. Steiner, L. Fang, J. Bai, and S. Chintala, “PyTorch: An imperative style, high-performance deep learning library,” in Proc. NeurIPS, 2019, pp. 8024–8035.</w:t>
      </w:r>
    </w:p>
    <w:p>
      <w:pPr>
        <w:spacing w:after="40" w:line="240" w:lineRule="auto"/>
        <w:ind w:left="283" w:hanging="283"/>
      </w:pPr>
      <w:r>
        <w:rPr>
          <w:rFonts w:ascii="Times New Roman" w:hAnsi="Times New Roman"/>
          <w:sz w:val="16"/>
        </w:rPr>
        <w:t>[22] C. R. Harris, K. J. Millman, S. J. van der Walt, R. Gommers, P. Virtanen, D. Cournapeau, E. Wieser, J. Taylor, S. Berg, N. J. Smith, R. Kern, M. Picus, S. Hoyer, M. H. van Krevelen, M. Brett, A. Haldane, J. F. del Río, M. Wiebe, P. Peterson, P. Gérard-Marchant, K. Sheppard, T. Reddy, W. Weckesser, H. Abbasi, C. Gohlke, and T. E. Oliphant, “Array programming with NumPy,” Nature, vol. 585, no. 7825, pp. 357–362, Sep. 2020.</w:t>
      </w:r>
    </w:p>
    <w:p>
      <w:pPr>
        <w:spacing w:after="40" w:line="240" w:lineRule="auto"/>
        <w:ind w:left="283" w:hanging="283"/>
      </w:pPr>
      <w:r>
        <w:rPr>
          <w:rFonts w:ascii="Times New Roman" w:hAnsi="Times New Roman"/>
          <w:sz w:val="16"/>
        </w:rPr>
        <w:t>[23] A. Kulkarni and A. Shivananda, Natural Language Processing Recipes: Unlocking Text Data with Machine Learning and Deep Learning Using Python. New York, NY, USA: Apress, 2019.</w:t>
      </w:r>
    </w:p>
    <w:p>
      <w:pPr>
        <w:spacing w:after="40" w:line="240" w:lineRule="auto"/>
        <w:ind w:left="283" w:hanging="283"/>
      </w:pPr>
      <w:r>
        <w:rPr>
          <w:rFonts w:ascii="Times New Roman" w:hAnsi="Times New Roman"/>
          <w:sz w:val="16"/>
        </w:rPr>
        <w:t>[24] A. Conneau, K. Khandelwal, N. Goyal, V. Chaudhary, G. Wenzek, F. Guzmán, E. Grave, M. Ott, L. Zettlemoyer, and V. Stoyanov, “Unsupervised cross-lingual representation learning at scale,” in Proc. ACL, 2020, pp. 8440–8451.</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