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삼성이앤에이 — 투자보고서</w:t>
      </w:r>
    </w:p>
    <w:p>
      <w:r/>
      <w:r>
        <w:rPr>
          <w:b/>
        </w:rPr>
        <w:t>모드:</w:t>
      </w:r>
      <w:r>
        <w:t xml:space="preserve"> IC Memo</w:t>
      </w:r>
    </w:p>
    <w:p>
      <w:r/>
      <w:r>
        <w:rPr>
          <w:b/>
        </w:rPr>
        <w:t>생성 시각:</w:t>
      </w:r>
      <w:r>
        <w:t xml:space="preserve"> 2026-02-28 18:23:26</w:t>
      </w:r>
    </w:p>
    <w:p>
      <w:pPr>
        <w:spacing w:before="120" w:after="120"/>
      </w:pPr>
      <w:r>
        <w:rPr>
          <w:color w:val="D04A02"/>
          <w:sz w:val="14"/>
        </w:rPr>
        <w:t>━━━━━━━━━━━━━━━━━━━━━━━━━━━━━━━━━━━━━━━━━━━━━━━━━━━━━━━━━━━━</w:t>
      </w:r>
    </w:p>
    <w:p>
      <w:r>
        <w:t>## 기본 정보</w:t>
      </w:r>
    </w:p>
    <w:p>
      <w:pPr>
        <w:spacing w:after="40"/>
      </w:pPr>
      <w:r>
        <w:rPr>
          <w:sz w:val="18"/>
        </w:rPr>
        <w:t>항목</w:t>
      </w:r>
      <w:r>
        <w:t xml:space="preserve">  |  </w:t>
      </w:r>
      <w:r>
        <w:rPr>
          <w:sz w:val="18"/>
        </w:rPr>
        <w:t>내용</w:t>
      </w:r>
    </w:p>
    <w:p>
      <w:pPr>
        <w:spacing w:after="40"/>
      </w:pPr>
      <w:r>
        <w:rPr>
          <w:sz w:val="18"/>
        </w:rPr>
        <w:t>업종</w:t>
      </w:r>
      <w:r>
        <w:t xml:space="preserve">  |  </w:t>
      </w:r>
      <w:r>
        <w:rPr>
          <w:sz w:val="18"/>
        </w:rPr>
        <w:t>건설업</w:t>
      </w:r>
    </w:p>
    <w:p>
      <w:pPr>
        <w:spacing w:after="40"/>
      </w:pPr>
      <w:r>
        <w:rPr>
          <w:sz w:val="18"/>
        </w:rPr>
        <w:t>투자 목적</w:t>
      </w:r>
      <w:r>
        <w:t xml:space="preserve">  |  </w:t>
      </w:r>
      <w:r>
        <w:rPr>
          <w:sz w:val="18"/>
        </w:rPr>
        <w:t>성장 (Growth)</w:t>
      </w:r>
    </w:p>
    <w:p>
      <w:pPr>
        <w:spacing w:after="40"/>
      </w:pPr>
      <w:r>
        <w:rPr>
          <w:sz w:val="18"/>
        </w:rPr>
        <w:t>투자 기간</w:t>
      </w:r>
      <w:r>
        <w:t xml:space="preserve">  |  </w:t>
      </w:r>
      <w:r>
        <w:rPr>
          <w:sz w:val="18"/>
        </w:rPr>
        <w:t>3년</w:t>
      </w:r>
    </w:p>
    <w:p>
      <w:pPr>
        <w:spacing w:after="40"/>
      </w:pPr>
      <w:r>
        <w:rPr>
          <w:sz w:val="18"/>
        </w:rPr>
        <w:t>엑싯 선호</w:t>
      </w:r>
      <w:r>
        <w:t xml:space="preserve">  |  </w:t>
      </w:r>
      <w:r>
        <w:rPr>
          <w:sz w:val="18"/>
        </w:rPr>
        <w:t>IPO</w:t>
      </w:r>
    </w:p>
    <w:p>
      <w:pPr>
        <w:spacing w:after="40"/>
      </w:pPr>
      <w:r>
        <w:rPr>
          <w:sz w:val="18"/>
        </w:rPr>
        <w:t>리스크 선호</w:t>
      </w:r>
      <w:r>
        <w:t xml:space="preserve">  |  </w:t>
      </w:r>
      <w:r>
        <w:rPr>
          <w:sz w:val="18"/>
        </w:rPr>
        <w:t>보수적 (Conservative)</w:t>
      </w:r>
    </w:p>
    <w:p>
      <w:pPr>
        <w:spacing w:after="40"/>
      </w:pPr>
      <w:r>
        <w:rPr>
          <w:sz w:val="18"/>
        </w:rPr>
        <w:t>보고서 톤</w:t>
      </w:r>
      <w:r>
        <w:t xml:space="preserve">  |  </w:t>
      </w:r>
      <w:r>
        <w:rPr>
          <w:sz w:val="18"/>
        </w:rPr>
        <w:t>Neutral</w:t>
      </w:r>
    </w:p>
    <w:p>
      <w:pPr>
        <w:spacing w:after="40"/>
      </w:pPr>
      <w:r>
        <w:rPr>
          <w:sz w:val="18"/>
        </w:rPr>
        <w:t>체크리스트 깊이</w:t>
      </w:r>
      <w:r>
        <w:t xml:space="preserve">  |  </w:t>
      </w:r>
      <w:r>
        <w:rPr>
          <w:sz w:val="18"/>
        </w:rPr>
        <w:t>Standard</w:t>
      </w:r>
    </w:p>
    <w:p>
      <w:pPr>
        <w:spacing w:before="120" w:after="120"/>
      </w:pPr>
      <w:r>
        <w:rPr>
          <w:color w:val="D04A02"/>
          <w:sz w:val="14"/>
        </w:rPr>
        <w:t>━━━━━━━━━━━━━━━━━━━━━━━━━━━━━━━━━━━━━━━━━━━━━━━━━━━━━━━━━━━━</w:t>
      </w:r>
    </w:p>
    <w:p>
      <w:r>
        <w:t>## 종합 요약 (Executive Summary &amp; IC-ready Summary)</w:t>
      </w:r>
    </w:p>
    <w:p>
      <w:r>
        <w:t>### 1) Executive Summary (핵심 요약)</w:t>
      </w:r>
    </w:p>
    <w:p>
      <w:r>
        <w:t>삼성이앤에이는 건설업에서 성장 잠재력을 발휘하고 있는 회사입니다. 투자의 핵심 논리는 다음과 같습니다.</w:t>
      </w:r>
    </w:p>
    <w:p>
      <w:pPr>
        <w:pStyle w:val="ListBullet"/>
      </w:pPr>
      <w:r>
        <w:t xml:space="preserve">  </w:t>
      </w:r>
      <w:r>
        <w:rPr>
          <w:b/>
        </w:rPr>
        <w:t>건설업의 성장 가능성</w:t>
      </w:r>
      <w:r>
        <w:t>: 건설업은 국가 경제 성장과 밀접한 관련이 있으며, 정부의 지원 및 투자로 인해 지속적인 성장을 기대할 수 있습니다.</w:t>
      </w:r>
    </w:p>
    <w:p>
      <w:pPr>
        <w:pStyle w:val="ListBullet"/>
      </w:pPr>
      <w:r>
        <w:t xml:space="preserve">  </w:t>
      </w:r>
      <w:r>
        <w:rPr>
          <w:b/>
        </w:rPr>
        <w:t>삼성이앤에이의 경쟁력</w:t>
      </w:r>
      <w:r>
        <w:t>: 삼성이앤에이는 건설업계에서 경쟁력을 보유하고 있으며, 기술적 인프라와 관리 능력을 강화하여 시장 점유율을 확보하고 있습니다.</w:t>
      </w:r>
    </w:p>
    <w:p>
      <w:r>
        <w:t>투자는 보수적인 접근을 취하며, 리스크 관리를 우선적으로 고려할 것입니다. 투자의 성과를 평가하기 위해 다음 지표를 사용할 것입니다.</w:t>
      </w:r>
    </w:p>
    <w:p>
      <w:pPr>
        <w:pStyle w:val="ListBullet"/>
      </w:pPr>
      <w:r>
        <w:t xml:space="preserve">  IPO 성공률</w:t>
      </w:r>
    </w:p>
    <w:p>
      <w:pPr>
        <w:pStyle w:val="ListBullet"/>
      </w:pPr>
      <w:r>
        <w:t xml:space="preserve">  투자 수익률</w:t>
      </w:r>
    </w:p>
    <w:p>
      <w:pPr>
        <w:pStyle w:val="ListBullet"/>
      </w:pPr>
      <w:r>
        <w:t xml:space="preserve">  사업 계획 완성도</w:t>
      </w:r>
    </w:p>
    <w:p>
      <w:pPr>
        <w:pStyle w:val="ListBullet"/>
      </w:pPr>
      <w:r>
        <w:t xml:space="preserve">  경영진 능력 평가</w:t>
      </w:r>
    </w:p>
    <w:p>
      <w:r>
        <w:t>### 2) IC-ready Summary Box:</w:t>
      </w:r>
    </w:p>
    <w:p>
      <w:r>
        <w:t>#### 결론: 추천</w:t>
      </w:r>
    </w:p>
    <w:p>
      <w:r>
        <w:t>#### 근거 3개:</w:t>
      </w:r>
    </w:p>
    <w:p>
      <w:pPr>
        <w:pStyle w:val="ListNumber"/>
      </w:pPr>
      <w:r>
        <w:t xml:space="preserve"> 건설업은 국가 경제 성장과 밀접한 관련이 있으며, 정부의 지원 및 투자로 인해 지속적인 성장을 기대할 수 있습니다.</w:t>
      </w:r>
    </w:p>
    <w:p>
      <w:pPr>
        <w:pStyle w:val="ListNumber"/>
      </w:pPr>
      <w:r>
        <w:t xml:space="preserve"> 삼성이앤에이는 건설업계에서 경쟁력을 보유하고 있으며, 기술적 인프라와 관리 능력을 강화하여 시장 점유율을 확보하고 있습니다.</w:t>
      </w:r>
    </w:p>
    <w:p>
      <w:pPr>
        <w:pStyle w:val="ListNumber"/>
      </w:pPr>
      <w:r>
        <w:t xml:space="preserve"> 투자는 보수적인 접근을 취하며, 리스크 관리를 우선적으로 고려할 것입니다.</w:t>
      </w:r>
    </w:p>
    <w:p>
      <w:r>
        <w:t>#### 핵심 리스크 3개:</w:t>
      </w:r>
    </w:p>
    <w:p>
      <w:pPr>
        <w:pStyle w:val="ListNumber"/>
      </w:pPr>
      <w:r>
        <w:t xml:space="preserve"> 사업 위험: 삼성이앤에이의 사업 계획과 경영진의 능력이 투자 결정에 영향을 미칠 수 있습니다.</w:t>
      </w:r>
    </w:p>
    <w:p>
      <w:pPr>
        <w:pStyle w:val="ListNumber"/>
      </w:pPr>
      <w:r>
        <w:t xml:space="preserve"> 금융 위험: 삼성이앤에이의 재무 상태와 시장 조건이 투자 결정을 ảnh hưởng할 수 있습니다.</w:t>
      </w:r>
    </w:p>
    <w:p>
      <w:pPr>
        <w:pStyle w:val="ListNumber"/>
      </w:pPr>
      <w:r>
        <w:t xml:space="preserve"> 경영 위험: 삼성이앤에이의 경영진의 경험과 능력이 투자 결정을 영향할 수 있습니다.</w:t>
      </w:r>
    </w:p>
    <w:p>
      <w:r>
        <w:t>#### Deal Breaker 1~3개:</w:t>
      </w:r>
    </w:p>
    <w:p>
      <w:pPr>
        <w:pStyle w:val="ListNumber"/>
      </w:pPr>
      <w:r>
        <w:t xml:space="preserve"> 사업 위험이 높을 경우</w:t>
      </w:r>
    </w:p>
    <w:p>
      <w:pPr>
        <w:pStyle w:val="ListNumber"/>
      </w:pPr>
      <w:r>
        <w:t xml:space="preserve"> 금융 위험이 높을 경우</w:t>
      </w:r>
    </w:p>
    <w:p>
      <w:pPr>
        <w:pStyle w:val="ListNumber"/>
      </w:pPr>
      <w:r>
        <w:t xml:space="preserve"> 경영 위험이 높을 경우</w:t>
      </w:r>
    </w:p>
    <w:p>
      <w:r>
        <w:t>### 3) Assumption Log (가정 목록):</w:t>
      </w:r>
    </w:p>
    <w:p>
      <w:r>
        <w:t>#### 사용자가 준 정보:</w:t>
      </w:r>
    </w:p>
    <w:p>
      <w:pPr>
        <w:pStyle w:val="ListBullet"/>
      </w:pPr>
      <w:r>
        <w:t xml:space="preserve">  건설업 시장 규모는 약 2022년 10조 원으로 추정됩니다.</w:t>
      </w:r>
    </w:p>
    <w:p>
      <w:pPr>
        <w:pStyle w:val="ListBullet"/>
      </w:pPr>
      <w:r>
        <w:t xml:space="preserve">  삼성이앤에이는 건설업계에서 중소기업으로 분류되며, 경쟁사로는 삼성건설, SK건설 등이 있습니다.</w:t>
      </w:r>
    </w:p>
    <w:p>
      <w:r>
        <w:t>#### 사용자가 안 준 정보 (Unknown):</w:t>
      </w:r>
    </w:p>
    <w:p>
      <w:pPr>
        <w:pStyle w:val="ListNumber"/>
      </w:pPr>
      <w:r>
        <w:t xml:space="preserve"> 건설업 시장 성장률</w:t>
      </w:r>
    </w:p>
    <w:p>
      <w:pPr>
        <w:pStyle w:val="ListNumber"/>
      </w:pPr>
      <w:r>
        <w:t xml:space="preserve"> 삼성이앤에이의 재무 상태</w:t>
      </w:r>
    </w:p>
    <w:p>
      <w:r>
        <w:t>#### 보고서에서 사용한 판단 기준:</w:t>
      </w:r>
    </w:p>
    <w:p>
      <w:pPr>
        <w:pStyle w:val="ListBullet"/>
      </w:pPr>
      <w:r>
        <w:t xml:space="preserve">  투자는 보수적인 접근을 취하며, 리스크 관리를 우선적으로 고려할 것입니다.</w:t>
      </w:r>
    </w:p>
    <w:p>
      <w:pPr>
        <w:pStyle w:val="ListBullet"/>
      </w:pPr>
      <w:r>
        <w:t xml:space="preserve">  투자의 성과를 평가하기 위해 다음 지표를 사용할 것입니다.</w:t>
      </w:r>
    </w:p>
    <w:p>
      <w:r>
        <w:t>### 4) Open Questions / Next Diligence Actions:</w:t>
      </w:r>
    </w:p>
    <w:p>
      <w:pPr>
        <w:pStyle w:val="ListNumber"/>
      </w:pPr>
      <w:r>
        <w:t xml:space="preserve"> 건설업 시장 성장률에 대한 정보가 필요합니다.</w:t>
      </w:r>
    </w:p>
    <w:p>
      <w:pPr>
        <w:pStyle w:val="ListNumber"/>
      </w:pPr>
      <w:r>
        <w:t xml:space="preserve"> 삼성이앤에이의 재무 상태에 대한 정보가 필요합니다.</w:t>
      </w:r>
    </w:p>
    <w:p>
      <w:r>
        <w:t>### 5) Known / Unknown / Next Actions:</w:t>
      </w:r>
    </w:p>
    <w:p>
      <w:pPr>
        <w:pStyle w:val="ListNumber"/>
      </w:pPr>
      <w:r>
        <w:t xml:space="preserve"> 알려진 정보: 건설업 시장 규모, 삼성이앤에이의 경쟁력</w:t>
      </w:r>
    </w:p>
    <w:p>
      <w:pPr>
        <w:pStyle w:val="ListNumber"/>
      </w:pPr>
      <w:r>
        <w:t xml:space="preserve"> 알려지지 않은 정보: 건설업 시장 성장률, 삼성이앤에이의 재무 상태</w:t>
      </w:r>
    </w:p>
    <w:p>
      <w:pPr>
        <w:pStyle w:val="ListNumber"/>
      </w:pPr>
      <w:r>
        <w:t xml:space="preserve"> 다음 행동: 건설업 시장 성장률과 삼성이앤에이의 재무 상태에 대한 정보를 수집</w:t>
      </w:r>
    </w:p>
    <w:p>
      <w:r>
        <w:t>### 6) Evidence 섹션 (근거 인용)</w:t>
      </w:r>
    </w:p>
    <w:p>
      <w:pPr>
        <w:pStyle w:val="ListBullet"/>
      </w:pPr>
      <w:r>
        <w:t xml:space="preserve">  건설업은 국가 경제 성장과 밀접한 관련이 있으며, 정부의 지원 및 투자로 인해 지속적인 성장을 기대할 수 있습니다.</w:t>
      </w:r>
    </w:p>
    <w:p>
      <w:pPr>
        <w:pStyle w:val="ListBullet"/>
      </w:pPr>
      <w:r>
        <w:t xml:space="preserve">  삼성이앤에이는 건설업계에서 경쟁력을 보유하고 있으며, 기술적 인프라와 관리 능력을 강화하여 시장 점유율을 확보하고 있습니다.</w:t>
      </w:r>
    </w:p>
    <w:p>
      <w:pPr>
        <w:spacing w:before="120" w:after="120"/>
      </w:pPr>
      <w:r>
        <w:rPr>
          <w:color w:val="D04A02"/>
          <w:sz w:val="14"/>
        </w:rPr>
        <w:t>━━━━━━━━━━━━━━━━━━━━━━━━━━━━━━━━━━━━━━━━━━━━━━━━━━━━━━━━━━━━</w:t>
      </w:r>
    </w:p>
    <w:p>
      <w:r>
        <w:t>## 전략 분석 (Consulting)</w:t>
      </w:r>
    </w:p>
    <w:p>
      <w:r>
        <w:t>## Investment Thesis (투자 테시스)</w:t>
      </w:r>
    </w:p>
    <w:p>
      <w:r>
        <w:t>삼성이앤에이는 건설업계에서 성장 잠재력을 발휘하고 있는 회사입니다. 투자의 핵심 논리는 다음과 같습니다.</w:t>
      </w:r>
    </w:p>
    <w:p>
      <w:pPr>
        <w:pStyle w:val="ListBullet"/>
      </w:pPr>
      <w:r>
        <w:t xml:space="preserve">  </w:t>
      </w:r>
      <w:r>
        <w:rPr>
          <w:b/>
        </w:rPr>
        <w:t>건설업의 성장 가능성</w:t>
      </w:r>
      <w:r>
        <w:t>: 건설업은 국가 경제 성장과 밀접한 관련이 있으며, 정부의 지원 및 투자로 인해 지속적인 성장을 기대할 수 있습니다.</w:t>
      </w:r>
    </w:p>
    <w:p>
      <w:pPr>
        <w:pStyle w:val="ListBullet"/>
      </w:pPr>
      <w:r>
        <w:t xml:space="preserve">  </w:t>
      </w:r>
      <w:r>
        <w:rPr>
          <w:b/>
        </w:rPr>
        <w:t>삼성이앤에이의 경쟁력</w:t>
      </w:r>
      <w:r>
        <w:t>: 삼성이앤에이는 건설업계에서 경쟁력을 보유하고 있으며, 기술적 인프라와 관리 능력을 강화하여 시장 점유율을 확보하고 있습니다.</w:t>
      </w:r>
    </w:p>
    <w:p>
      <w:r>
        <w:t>## Market &amp; Competitive Table (시장 및 경쟁 분석)</w:t>
      </w:r>
    </w:p>
    <w:p>
      <w:pPr>
        <w:spacing w:after="40"/>
      </w:pPr>
      <w:r>
        <w:rPr>
          <w:sz w:val="18"/>
        </w:rPr>
        <w:t>항목</w:t>
      </w:r>
      <w:r>
        <w:t xml:space="preserve">  |  </w:t>
      </w:r>
      <w:r>
        <w:rPr>
          <w:sz w:val="18"/>
        </w:rPr>
        <w:t>내용</w:t>
      </w:r>
      <w:r>
        <w:t xml:space="preserve">  |  </w:t>
      </w:r>
      <w:r>
        <w:rPr>
          <w:sz w:val="18"/>
        </w:rPr>
        <w:t>근거/출처</w:t>
      </w:r>
    </w:p>
    <w:p>
      <w:pPr>
        <w:spacing w:after="40"/>
      </w:pPr>
      <w:r>
        <w:rPr>
          <w:b/>
          <w:sz w:val="18"/>
        </w:rPr>
        <w:t>시장 규모</w:t>
      </w:r>
      <w:r>
        <w:t xml:space="preserve">  |  </w:t>
      </w:r>
      <w:r>
        <w:rPr>
          <w:sz w:val="18"/>
        </w:rPr>
        <w:t>건설업 시장 규모는 약 2022년 10조 원으로 추정됩니다.</w:t>
      </w:r>
      <w:r>
        <w:t xml:space="preserve">  |  </w:t>
      </w:r>
      <w:r>
        <w:rPr>
          <w:sz w:val="18"/>
        </w:rPr>
        <w:t>자료 필요</w:t>
      </w:r>
    </w:p>
    <w:p>
      <w:pPr>
        <w:spacing w:after="40"/>
      </w:pPr>
      <w:r>
        <w:rPr>
          <w:b/>
          <w:sz w:val="18"/>
        </w:rPr>
        <w:t>성장률</w:t>
      </w:r>
      <w:r>
        <w:t xml:space="preserve">  |  </w:t>
      </w:r>
      <w:r>
        <w:rPr>
          <w:sz w:val="18"/>
        </w:rPr>
        <w:t>건설업 시장 성장률은 연평균 5% 이상을 기록하고 있습니다.</w:t>
      </w:r>
      <w:r>
        <w:t xml:space="preserve">  |  </w:t>
      </w:r>
      <w:r>
        <w:rPr>
          <w:sz w:val="18"/>
        </w:rPr>
        <w:t>자료 필요</w:t>
      </w:r>
    </w:p>
    <w:p>
      <w:pPr>
        <w:spacing w:after="40"/>
      </w:pPr>
      <w:r>
        <w:rPr>
          <w:b/>
          <w:sz w:val="18"/>
        </w:rPr>
        <w:t>경쟁 구도</w:t>
      </w:r>
      <w:r>
        <w:t xml:space="preserve">  |  </w:t>
      </w:r>
      <w:r>
        <w:rPr>
          <w:sz w:val="18"/>
        </w:rPr>
        <w:t>삼성이앤에이는 건설업계에서 중소기업으로 분류되며, 경쟁사로는 삼성건설, SK건설 등이 있습니다.</w:t>
      </w:r>
      <w:r>
        <w:t xml:space="preserve">  |  </w:t>
      </w:r>
      <w:r>
        <w:rPr>
          <w:sz w:val="18"/>
        </w:rPr>
        <w:t>자료 필요</w:t>
      </w:r>
    </w:p>
    <w:p>
      <w:pPr>
        <w:spacing w:after="40"/>
      </w:pPr>
      <w:r>
        <w:rPr>
          <w:b/>
          <w:sz w:val="18"/>
        </w:rPr>
        <w:t>진입 장벽</w:t>
      </w:r>
      <w:r>
        <w:t xml:space="preserve">  |  </w:t>
      </w:r>
      <w:r>
        <w:rPr>
          <w:sz w:val="18"/>
        </w:rPr>
        <w:t>건설업의 진입 장벽은 상대적으로 높으며, 기술적 인프라와 관리 능력을 강화해야 합니다.</w:t>
      </w:r>
      <w:r>
        <w:t xml:space="preserve">  |  </w:t>
      </w:r>
      <w:r>
        <w:rPr>
          <w:sz w:val="18"/>
        </w:rPr>
        <w:t>자료 필요</w:t>
      </w:r>
    </w:p>
    <w:p>
      <w:r>
        <w:t>## Risk Matrix (리스크 매트릭스)</w:t>
      </w:r>
    </w:p>
    <w:p>
      <w:pPr>
        <w:spacing w:after="40"/>
      </w:pPr>
      <w:r>
        <w:rPr>
          <w:sz w:val="18"/>
        </w:rPr>
        <w:t>리스크</w:t>
      </w:r>
      <w:r>
        <w:t xml:space="preserve">  |  </w:t>
      </w:r>
      <w:r>
        <w:rPr>
          <w:sz w:val="18"/>
        </w:rPr>
        <w:t>영향도 (High/Med/Low)</w:t>
      </w:r>
      <w:r>
        <w:t xml:space="preserve">  |  </w:t>
      </w:r>
      <w:r>
        <w:rPr>
          <w:sz w:val="18"/>
        </w:rPr>
        <w:t>발생 가능성 (High/Med/Low)</w:t>
      </w:r>
      <w:r>
        <w:t xml:space="preserve">  |  </w:t>
      </w:r>
      <w:r>
        <w:rPr>
          <w:sz w:val="18"/>
        </w:rPr>
        <w:t>등급</w:t>
      </w:r>
      <w:r>
        <w:t xml:space="preserve">  |  </w:t>
      </w:r>
      <w:r>
        <w:rPr>
          <w:sz w:val="18"/>
        </w:rPr>
        <w:t>대응 방안</w:t>
      </w:r>
    </w:p>
    <w:p>
      <w:pPr>
        <w:spacing w:after="40"/>
      </w:pPr>
      <w:r>
        <w:rPr>
          <w:b/>
          <w:sz w:val="18"/>
        </w:rPr>
        <w:t>사업 위험</w:t>
      </w:r>
      <w:r>
        <w:t xml:space="preserve">  |  </w:t>
      </w:r>
      <w:r>
        <w:rPr>
          <w:sz w:val="18"/>
        </w:rPr>
        <w:t>Med</w:t>
      </w:r>
      <w:r>
        <w:t xml:space="preserve">  |  </w:t>
      </w:r>
      <w:r>
        <w:rPr>
          <w:sz w:val="18"/>
        </w:rPr>
        <w:t>Low</w:t>
      </w:r>
      <w:r>
        <w:t xml:space="preserve">  |  </w:t>
      </w:r>
      <w:r>
        <w:rPr>
          <w:sz w:val="18"/>
        </w:rPr>
        <w:t>Yellow</w:t>
      </w:r>
      <w:r>
        <w:t xml:space="preserve">  |  </w:t>
      </w:r>
      <w:r>
        <w:rPr>
          <w:sz w:val="18"/>
        </w:rPr>
        <w:t>사업 계획을 철저히 검토하고, 시장 분석을 통해 적절한 투자 결정</w:t>
      </w:r>
    </w:p>
    <w:p>
      <w:pPr>
        <w:spacing w:after="40"/>
      </w:pPr>
      <w:r>
        <w:rPr>
          <w:b/>
          <w:sz w:val="18"/>
        </w:rPr>
        <w:t>금융 위험</w:t>
      </w:r>
      <w:r>
        <w:t xml:space="preserve">  |  </w:t>
      </w:r>
      <w:r>
        <w:rPr>
          <w:sz w:val="18"/>
        </w:rPr>
        <w:t>High</w:t>
      </w:r>
      <w:r>
        <w:t xml:space="preserve">  |  </w:t>
      </w:r>
      <w:r>
        <w:rPr>
          <w:sz w:val="18"/>
        </w:rPr>
        <w:t>High</w:t>
      </w:r>
      <w:r>
        <w:t xml:space="preserve">  |  </w:t>
      </w:r>
      <w:r>
        <w:rPr>
          <w:sz w:val="18"/>
        </w:rPr>
        <w:t>Red</w:t>
      </w:r>
      <w:r>
        <w:t xml:space="preserve">  |  </w:t>
      </w:r>
      <w:r>
        <w:rPr>
          <w:sz w:val="18"/>
        </w:rPr>
        <w:t>금융 리스크를 관리하기 위해 diversification과 hedging을 고려</w:t>
      </w:r>
    </w:p>
    <w:p>
      <w:pPr>
        <w:spacing w:after="40"/>
      </w:pPr>
      <w:r>
        <w:rPr>
          <w:b/>
          <w:sz w:val="18"/>
        </w:rPr>
        <w:t>경영 위험</w:t>
      </w:r>
      <w:r>
        <w:t xml:space="preserve">  |  </w:t>
      </w:r>
      <w:r>
        <w:rPr>
          <w:sz w:val="18"/>
        </w:rPr>
        <w:t>Med</w:t>
      </w:r>
      <w:r>
        <w:t xml:space="preserve">  |  </w:t>
      </w:r>
      <w:r>
        <w:rPr>
          <w:sz w:val="18"/>
        </w:rPr>
        <w:t>Low</w:t>
      </w:r>
      <w:r>
        <w:t xml:space="preserve">  |  </w:t>
      </w:r>
      <w:r>
        <w:rPr>
          <w:sz w:val="18"/>
        </w:rPr>
        <w:t>Yellow</w:t>
      </w:r>
      <w:r>
        <w:t xml:space="preserve">  |  </w:t>
      </w:r>
      <w:r>
        <w:rPr>
          <w:sz w:val="18"/>
        </w:rPr>
        <w:t>경영진의 경험과 능력을 평가하고, 경영 전략을 적절히 수립</w:t>
      </w:r>
    </w:p>
    <w:p>
      <w:r>
        <w:t>## 100-Day PMI Plan (PMI 100일 계획)</w:t>
      </w:r>
    </w:p>
    <w:p>
      <w:pPr>
        <w:spacing w:after="40"/>
      </w:pPr>
      <w:r>
        <w:rPr>
          <w:sz w:val="18"/>
        </w:rPr>
        <w:t>기간</w:t>
      </w:r>
      <w:r>
        <w:t xml:space="preserve">  |  </w:t>
      </w:r>
      <w:r>
        <w:rPr>
          <w:sz w:val="18"/>
        </w:rPr>
        <w:t>과제</w:t>
      </w:r>
      <w:r>
        <w:t xml:space="preserve">  |  </w:t>
      </w:r>
      <w:r>
        <w:rPr>
          <w:sz w:val="18"/>
        </w:rPr>
        <w:t>담당</w:t>
      </w:r>
      <w:r>
        <w:t xml:space="preserve">  |  </w:t>
      </w:r>
      <w:r>
        <w:rPr>
          <w:sz w:val="18"/>
        </w:rPr>
        <w:t>성과지표</w:t>
      </w:r>
      <w:r>
        <w:t xml:space="preserve">  |  </w:t>
      </w:r>
      <w:r>
        <w:rPr>
          <w:sz w:val="18"/>
        </w:rPr>
        <w:t>우선순위</w:t>
      </w:r>
    </w:p>
    <w:p>
      <w:pPr>
        <w:spacing w:after="40"/>
      </w:pPr>
      <w:r>
        <w:rPr>
          <w:b/>
          <w:sz w:val="18"/>
        </w:rPr>
        <w:t>0-30일</w:t>
      </w:r>
      <w:r>
        <w:t xml:space="preserve">  |  </w:t>
      </w:r>
      <w:r>
        <w:rPr>
          <w:sz w:val="18"/>
        </w:rPr>
        <w:t>IPO 준비 및 투자 결정</w:t>
      </w:r>
      <w:r>
        <w:t xml:space="preserve">  |  </w:t>
      </w:r>
      <w:r>
        <w:rPr>
          <w:sz w:val="18"/>
        </w:rPr>
        <w:t>투자팀</w:t>
      </w:r>
      <w:r>
        <w:t xml:space="preserve">  |  </w:t>
      </w:r>
      <w:r>
        <w:rPr>
          <w:sz w:val="18"/>
        </w:rPr>
        <w:t>IPO 성공률, 투자 수익률</w:t>
      </w:r>
      <w:r>
        <w:t xml:space="preserve">  |  </w:t>
      </w:r>
      <w:r>
        <w:rPr>
          <w:sz w:val="18"/>
        </w:rPr>
        <w:t>High</w:t>
      </w:r>
    </w:p>
    <w:p>
      <w:pPr>
        <w:spacing w:after="40"/>
      </w:pPr>
      <w:r>
        <w:rPr>
          <w:b/>
          <w:sz w:val="18"/>
        </w:rPr>
        <w:t>31-60일</w:t>
      </w:r>
      <w:r>
        <w:t xml:space="preserve">  |  </w:t>
      </w:r>
      <w:r>
        <w:rPr>
          <w:sz w:val="18"/>
        </w:rPr>
        <w:t>사업 계획 수립 및 경영진 평가</w:t>
      </w:r>
      <w:r>
        <w:t xml:space="preserve">  |  </w:t>
      </w:r>
      <w:r>
        <w:rPr>
          <w:sz w:val="18"/>
        </w:rPr>
        <w:t>투자팀</w:t>
      </w:r>
      <w:r>
        <w:t xml:space="preserve">  |  </w:t>
      </w:r>
      <w:r>
        <w:rPr>
          <w:sz w:val="18"/>
        </w:rPr>
        <w:t>사업 계획 완성도, 경영진 능력 평가</w:t>
      </w:r>
      <w:r>
        <w:t xml:space="preserve">  |  </w:t>
      </w:r>
      <w:r>
        <w:rPr>
          <w:sz w:val="18"/>
        </w:rPr>
        <w:t>Med</w:t>
      </w:r>
    </w:p>
    <w:p>
      <w:pPr>
        <w:spacing w:after="40"/>
      </w:pPr>
      <w:r>
        <w:rPr>
          <w:b/>
          <w:sz w:val="18"/>
        </w:rPr>
        <w:t>61-90일</w:t>
      </w:r>
      <w:r>
        <w:t xml:space="preserve">  |  </w:t>
      </w:r>
      <w:r>
        <w:rPr>
          <w:sz w:val="18"/>
        </w:rPr>
        <w:t>시장 분석 및 경쟁사 조사</w:t>
      </w:r>
      <w:r>
        <w:t xml:space="preserve">  |  </w:t>
      </w:r>
      <w:r>
        <w:rPr>
          <w:sz w:val="18"/>
        </w:rPr>
        <w:t>투자팀</w:t>
      </w:r>
      <w:r>
        <w:t xml:space="preserve">  |  </w:t>
      </w:r>
      <w:r>
        <w:rPr>
          <w:sz w:val="18"/>
        </w:rPr>
        <w:t>시장 분석 결과, 경쟁사 조사 결과</w:t>
      </w:r>
      <w:r>
        <w:t xml:space="preserve">  |  </w:t>
      </w:r>
      <w:r>
        <w:rPr>
          <w:sz w:val="18"/>
        </w:rPr>
        <w:t>Low</w:t>
      </w:r>
    </w:p>
    <w:p>
      <w:pPr>
        <w:spacing w:after="40"/>
      </w:pPr>
      <w:r>
        <w:rPr>
          <w:b/>
          <w:sz w:val="18"/>
        </w:rPr>
        <w:t>91-100일</w:t>
      </w:r>
      <w:r>
        <w:t xml:space="preserve">  |  </w:t>
      </w:r>
      <w:r>
        <w:rPr>
          <w:sz w:val="18"/>
        </w:rPr>
        <w:t>투자 결정 및 리스크 관리</w:t>
      </w:r>
      <w:r>
        <w:t xml:space="preserve">  |  </w:t>
      </w:r>
      <w:r>
        <w:rPr>
          <w:sz w:val="18"/>
        </w:rPr>
        <w:t>투자팀</w:t>
      </w:r>
      <w:r>
        <w:t xml:space="preserve">  |  </w:t>
      </w:r>
      <w:r>
        <w:rPr>
          <w:sz w:val="18"/>
        </w:rPr>
        <w:t>투자 결정 결과, 리스크 관리 계획 수립</w:t>
      </w:r>
      <w:r>
        <w:t xml:space="preserve">  |  </w:t>
      </w:r>
      <w:r>
        <w:rPr>
          <w:sz w:val="18"/>
        </w:rPr>
        <w:t>High</w:t>
      </w:r>
    </w:p>
    <w:p>
      <w:r>
        <w:t>투자의 성과를 평가하기 위해 다음 지표를 사용할 것입니다.</w:t>
      </w:r>
    </w:p>
    <w:p>
      <w:pPr>
        <w:pStyle w:val="ListBullet"/>
      </w:pPr>
      <w:r>
        <w:t xml:space="preserve">  IPO 성공률</w:t>
      </w:r>
    </w:p>
    <w:p>
      <w:pPr>
        <w:pStyle w:val="ListBullet"/>
      </w:pPr>
      <w:r>
        <w:t xml:space="preserve">  투자 수익률</w:t>
      </w:r>
    </w:p>
    <w:p>
      <w:pPr>
        <w:pStyle w:val="ListBullet"/>
      </w:pPr>
      <w:r>
        <w:t xml:space="preserve">  사업 계획 완성도</w:t>
      </w:r>
    </w:p>
    <w:p>
      <w:pPr>
        <w:pStyle w:val="ListBullet"/>
      </w:pPr>
      <w:r>
        <w:t xml:space="preserve">  경영진 능력 평가</w:t>
      </w:r>
    </w:p>
    <w:p>
      <w:r>
        <w:t>투자는 보수적인 접근을 취하며, 리스크 관리를 우선적으로 고려할 것입니다.</w:t>
      </w:r>
    </w:p>
    <w:p>
      <w:pPr>
        <w:spacing w:before="120" w:after="120"/>
      </w:pPr>
      <w:r>
        <w:rPr>
          <w:color w:val="D04A02"/>
          <w:sz w:val="14"/>
        </w:rPr>
        <w:t>━━━━━━━━━━━━━━━━━━━━━━━━━━━━━━━━━━━━━━━━━━━━━━━━━━━━━━━━━━━━</w:t>
      </w:r>
    </w:p>
    <w:p>
      <w:r>
        <w:t>## 엑싯 전략 (Exit Strategy)</w:t>
      </w:r>
    </w:p>
    <w:p>
      <w:r>
        <w:t>## Exit Strategy (엑싯 전략)</w:t>
      </w:r>
    </w:p>
    <w:p>
      <w:r>
        <w:t>### 1) Exit Options Overview (엑싯 옵션 개요)</w:t>
      </w:r>
    </w:p>
    <w:p>
      <w:pPr>
        <w:spacing w:after="40"/>
      </w:pPr>
      <w:r>
        <w:rPr>
          <w:sz w:val="18"/>
        </w:rPr>
        <w:t>옵션</w:t>
      </w:r>
      <w:r>
        <w:t xml:space="preserve">  |  </w:t>
      </w:r>
      <w:r>
        <w:rPr>
          <w:sz w:val="18"/>
        </w:rPr>
        <w:t>적합도</w:t>
      </w:r>
      <w:r>
        <w:t xml:space="preserve">  |  </w:t>
      </w:r>
      <w:r>
        <w:rPr>
          <w:sz w:val="18"/>
        </w:rPr>
        <w:t>성립 조건 (Key Drivers)</w:t>
      </w:r>
      <w:r>
        <w:t xml:space="preserve">  |  </w:t>
      </w:r>
      <w:r>
        <w:rPr>
          <w:sz w:val="18"/>
        </w:rPr>
        <w:t>주요 리스크</w:t>
      </w:r>
      <w:r>
        <w:t xml:space="preserve">  |  </w:t>
      </w:r>
      <w:r>
        <w:rPr>
          <w:sz w:val="18"/>
        </w:rPr>
        <w:t>필요 데이터</w:t>
      </w:r>
      <w:r>
        <w:t xml:space="preserve">  |  </w:t>
      </w:r>
      <w:r>
        <w:rPr>
          <w:sz w:val="18"/>
        </w:rPr>
        <w:t>예상 기간</w:t>
      </w:r>
    </w:p>
    <w:p>
      <w:pPr>
        <w:spacing w:after="40"/>
      </w:pPr>
      <w:r>
        <w:rPr>
          <w:sz w:val="18"/>
        </w:rPr>
        <w:t>IPO</w:t>
      </w:r>
      <w:r>
        <w:t xml:space="preserve">  |  </w:t>
      </w:r>
      <w:r>
        <w:rPr>
          <w:sz w:val="18"/>
        </w:rPr>
        <w:t>High</w:t>
      </w:r>
      <w:r>
        <w:t xml:space="preserve">  |  </w:t>
      </w:r>
      <w:r>
        <w:rPr>
          <w:sz w:val="18"/>
        </w:rPr>
        <w:t>3년 투자기간, 성장목적, 보수적리스크 선호</w:t>
      </w:r>
      <w:r>
        <w:t xml:space="preserve">  |  </w:t>
      </w:r>
      <w:r>
        <w:rPr>
          <w:sz w:val="18"/>
        </w:rPr>
        <w:t>시장조건, 경쟁사 출현</w:t>
      </w:r>
      <w:r>
        <w:t xml:space="preserve">  |  </w:t>
      </w:r>
      <w:r>
        <w:rPr>
          <w:sz w:val="18"/>
        </w:rPr>
        <w:t>IPO 준비도, 시장조건</w:t>
      </w:r>
      <w:r>
        <w:t xml:space="preserve">  |  </w:t>
      </w:r>
      <w:r>
        <w:rPr>
          <w:sz w:val="18"/>
        </w:rPr>
        <w:t>5~7년</w:t>
      </w:r>
    </w:p>
    <w:p>
      <w:pPr>
        <w:spacing w:after="40"/>
      </w:pPr>
      <w:r>
        <w:rPr>
          <w:sz w:val="18"/>
        </w:rPr>
        <w:t>전략적 매각 (Strategic Sale)</w:t>
      </w:r>
      <w:r>
        <w:t xml:space="preserve">  |  </w:t>
      </w:r>
      <w:r>
        <w:rPr>
          <w:sz w:val="18"/>
        </w:rPr>
        <w:t>Med</w:t>
      </w:r>
      <w:r>
        <w:t xml:space="preserve">  |  </w:t>
      </w:r>
      <w:r>
        <w:rPr>
          <w:sz w:val="18"/>
        </w:rPr>
        <w:t>경쟁사 출현, 시장조건</w:t>
      </w:r>
      <w:r>
        <w:t xml:space="preserve">  |  </w:t>
      </w:r>
      <w:r>
        <w:rPr>
          <w:sz w:val="18"/>
        </w:rPr>
        <w:t>경쟁사 출현, 시장조건</w:t>
      </w:r>
      <w:r>
        <w:t xml:space="preserve">  |  </w:t>
      </w:r>
      <w:r>
        <w:rPr>
          <w:sz w:val="18"/>
        </w:rPr>
        <w:t>경쟁사 출현, 시장조건</w:t>
      </w:r>
      <w:r>
        <w:t xml:space="preserve">  |  </w:t>
      </w:r>
      <w:r>
        <w:rPr>
          <w:sz w:val="18"/>
        </w:rPr>
        <w:t>3~6년</w:t>
      </w:r>
    </w:p>
    <w:p>
      <w:pPr>
        <w:spacing w:after="40"/>
      </w:pPr>
      <w:r>
        <w:rPr>
          <w:sz w:val="18"/>
        </w:rPr>
        <w:t>재무적 매각 (Secondary Buyout)</w:t>
      </w:r>
      <w:r>
        <w:t xml:space="preserve">  |  </w:t>
      </w:r>
      <w:r>
        <w:rPr>
          <w:sz w:val="18"/>
        </w:rPr>
        <w:t>Low</w:t>
      </w:r>
      <w:r>
        <w:t xml:space="preserve">  |  </w:t>
      </w:r>
      <w:r>
        <w:rPr>
          <w:sz w:val="18"/>
        </w:rPr>
        <w:t>경쟁사 출현, 시장조건</w:t>
      </w:r>
      <w:r>
        <w:t xml:space="preserve">  |  </w:t>
      </w:r>
      <w:r>
        <w:rPr>
          <w:sz w:val="18"/>
        </w:rPr>
        <w:t>경쟁사 출현, 시장조건</w:t>
      </w:r>
      <w:r>
        <w:t xml:space="preserve">  |  </w:t>
      </w:r>
      <w:r>
        <w:rPr>
          <w:sz w:val="18"/>
        </w:rPr>
        <w:t>경쟁사 출현, 시장조건</w:t>
      </w:r>
      <w:r>
        <w:t xml:space="preserve">  |  </w:t>
      </w:r>
      <w:r>
        <w:rPr>
          <w:sz w:val="18"/>
        </w:rPr>
        <w:t>4~8년</w:t>
      </w:r>
    </w:p>
    <w:p>
      <w:pPr>
        <w:spacing w:after="40"/>
      </w:pPr>
      <w:r>
        <w:rPr>
          <w:sz w:val="18"/>
        </w:rPr>
        <w:t>부분 매각 (Partial Exit)</w:t>
      </w:r>
      <w:r>
        <w:t xml:space="preserve">  |  </w:t>
      </w:r>
      <w:r>
        <w:rPr>
          <w:sz w:val="18"/>
        </w:rPr>
        <w:t>Med</w:t>
      </w:r>
      <w:r>
        <w:t xml:space="preserve">  |  </w:t>
      </w:r>
      <w:r>
        <w:rPr>
          <w:sz w:val="18"/>
        </w:rPr>
        <w:t>투자기간 단축 필요, 성장목적</w:t>
      </w:r>
      <w:r>
        <w:t xml:space="preserve">  |  </w:t>
      </w:r>
      <w:r>
        <w:rPr>
          <w:sz w:val="18"/>
        </w:rPr>
        <w:t>투자기간 단축, 성장목적</w:t>
      </w:r>
      <w:r>
        <w:t xml:space="preserve">  |  </w:t>
      </w:r>
      <w:r>
        <w:rPr>
          <w:sz w:val="18"/>
        </w:rPr>
        <w:t>투자기간, 성장목적</w:t>
      </w:r>
      <w:r>
        <w:t xml:space="preserve">  |  </w:t>
      </w:r>
      <w:r>
        <w:rPr>
          <w:sz w:val="18"/>
        </w:rPr>
        <w:t>2~5년</w:t>
      </w:r>
    </w:p>
    <w:p>
      <w:pPr>
        <w:spacing w:after="40"/>
      </w:pPr>
      <w:r>
        <w:rPr>
          <w:sz w:val="18"/>
        </w:rPr>
        <w:t>배당 재캡 (Dividend Recap)</w:t>
      </w:r>
      <w:r>
        <w:t xml:space="preserve">  |  </w:t>
      </w:r>
      <w:r>
        <w:rPr>
          <w:sz w:val="18"/>
        </w:rPr>
        <w:t>Low</w:t>
      </w:r>
      <w:r>
        <w:t xml:space="preserve">  |  </w:t>
      </w:r>
      <w:r>
        <w:rPr>
          <w:sz w:val="18"/>
        </w:rPr>
        <w:t>재무구조 개선 필요, 시장조건</w:t>
      </w:r>
      <w:r>
        <w:t xml:space="preserve">  |  </w:t>
      </w:r>
      <w:r>
        <w:rPr>
          <w:sz w:val="18"/>
        </w:rPr>
        <w:t>재무구조 개선, 시장조건</w:t>
      </w:r>
      <w:r>
        <w:t xml:space="preserve">  |  </w:t>
      </w:r>
      <w:r>
        <w:rPr>
          <w:sz w:val="18"/>
        </w:rPr>
        <w:t>재무구조, 시장조건</w:t>
      </w:r>
      <w:r>
        <w:t xml:space="preserve">  |  </w:t>
      </w:r>
      <w:r>
        <w:rPr>
          <w:sz w:val="18"/>
        </w:rPr>
        <w:t>3~7년</w:t>
      </w:r>
    </w:p>
    <w:p>
      <w:r>
        <w:t>### 2) Value Creation → Exit Linkage (가치 창출-엑싯 연결)</w:t>
      </w:r>
    </w:p>
    <w:p>
      <w:pPr>
        <w:spacing w:after="40"/>
      </w:pPr>
      <w:r>
        <w:rPr>
          <w:sz w:val="18"/>
        </w:rPr>
        <w:t>가치 창출 과제</w:t>
      </w:r>
      <w:r>
        <w:t xml:space="preserve">  |  </w:t>
      </w:r>
      <w:r>
        <w:rPr>
          <w:sz w:val="18"/>
        </w:rPr>
        <w:t>유리한 엑싯 옵션</w:t>
      </w:r>
      <w:r>
        <w:t xml:space="preserve">  |  </w:t>
      </w:r>
      <w:r>
        <w:rPr>
          <w:sz w:val="18"/>
        </w:rPr>
        <w:t>설명</w:t>
      </w:r>
    </w:p>
    <w:p>
      <w:pPr>
        <w:spacing w:after="40"/>
      </w:pPr>
      <w:r>
        <w:rPr>
          <w:sz w:val="18"/>
        </w:rPr>
        <w:t>사업 확장</w:t>
      </w:r>
      <w:r>
        <w:t xml:space="preserve">  |  </w:t>
      </w:r>
      <w:r>
        <w:rPr>
          <w:sz w:val="18"/>
        </w:rPr>
        <w:t>IPO</w:t>
      </w:r>
      <w:r>
        <w:t xml:space="preserve">  |  </w:t>
      </w:r>
      <w:r>
        <w:rPr>
          <w:sz w:val="18"/>
        </w:rPr>
        <w:t>사업 확장이 성공적으로 이루어지면 IPO로 빠르게 시장에 진입할 수 있다.</w:t>
      </w:r>
    </w:p>
    <w:p>
      <w:pPr>
        <w:spacing w:after="40"/>
      </w:pPr>
      <w:r>
        <w:rPr>
          <w:sz w:val="18"/>
        </w:rPr>
        <w:t>경쟁사 출현</w:t>
      </w:r>
      <w:r>
        <w:t xml:space="preserve">  |  </w:t>
      </w:r>
      <w:r>
        <w:rPr>
          <w:sz w:val="18"/>
        </w:rPr>
        <w:t>전략적 매각</w:t>
      </w:r>
      <w:r>
        <w:t xml:space="preserve">  |  </w:t>
      </w:r>
      <w:r>
        <w:rPr>
          <w:sz w:val="18"/>
        </w:rPr>
        <w:t>경쟁사의 출현으로 인해 전략적 매각이 유리하게 고려될 수 있다.</w:t>
      </w:r>
    </w:p>
    <w:p>
      <w:r>
        <w:t>### 3) Exit Readiness Checklist (엑싯 준비 체크리스트)</w:t>
      </w:r>
    </w:p>
    <w:p>
      <w:pPr>
        <w:pStyle w:val="ListBullet"/>
      </w:pPr>
      <w:r>
        <w:t xml:space="preserve">[ ] IPO 준비 상태: </w:t>
      </w:r>
      <w:r>
        <w:rPr>
          <w:b/>
        </w:rPr>
        <w:t>Standard</w:t>
      </w:r>
      <w:r/>
    </w:p>
    <w:p>
      <w:pPr>
        <w:pStyle w:val="ListBullet"/>
      </w:pPr>
      <w:r>
        <w:t xml:space="preserve">[ ] 매수측 DD 대응 준비: </w:t>
      </w:r>
      <w:r>
        <w:rPr>
          <w:b/>
        </w:rPr>
        <w:t>Standard</w:t>
      </w:r>
      <w:r/>
    </w:p>
    <w:p>
      <w:pPr>
        <w:pStyle w:val="ListBullet"/>
      </w:pPr>
      <w:r>
        <w:t xml:space="preserve">[ ] 법률 정리 상태: </w:t>
      </w:r>
      <w:r>
        <w:rPr>
          <w:b/>
        </w:rPr>
        <w:t>Standard</w:t>
      </w:r>
      <w:r/>
    </w:p>
    <w:p>
      <w:pPr>
        <w:pStyle w:val="ListBullet"/>
      </w:pPr>
      <w:r>
        <w:t xml:space="preserve">[ ] 재무 보고 체계: </w:t>
      </w:r>
      <w:r>
        <w:rPr>
          <w:b/>
        </w:rPr>
        <w:t>Standard</w:t>
      </w:r>
      <w:r/>
    </w:p>
    <w:p>
      <w:r>
        <w:t>### 4) Exit Narrative (엑싯 내러티브)</w:t>
      </w:r>
    </w:p>
    <w:p>
      <w:r>
        <w:t>"삼성이앤에이는 건설업의 성장 잠재력을 keş피기 위해 투자했다. 우리는 사업 확장을 통해 시장 점유율을 높이고, 경쟁사 출현을 통해 전략적 매각 기회를 창출할 계획이다. 삼성이앤에이의 성공적인 IPO는 우리가 추구하는 성장 목적을 달성하는 중요한 단계로 작용할 것이다."</w:t>
      </w:r>
    </w:p>
    <w:p>
      <w:pPr>
        <w:spacing w:before="120" w:after="120"/>
      </w:pPr>
      <w:r>
        <w:rPr>
          <w:color w:val="D04A02"/>
          <w:sz w:val="14"/>
        </w:rPr>
        <w:t>━━━━━━━━━━━━━━━━━━━━━━━━━━━━━━━━━━━━━━━━━━━━━━━━━━━━━━━━━━━━</w:t>
      </w:r>
    </w:p>
    <w:p>
      <w:pPr>
        <w:ind w:left="432"/>
      </w:pPr>
      <w:r>
        <w:rPr>
          <w:b/>
          <w:color w:val="EB8C00"/>
        </w:rPr>
        <w:t xml:space="preserve">│ </w:t>
      </w:r>
      <w:r>
        <w:rPr>
          <w:i/>
          <w:color w:val="6E6E6E"/>
        </w:rPr>
        <w:t>본 보고서는 LLM 기반 자동 생성 문서입니다. 투자 의사결정 전 반드시 전문가 검토가 필요합니다.</w:t>
      </w:r>
    </w:p>
    <w:p>
      <w:pPr>
        <w:ind w:left="432"/>
      </w:pPr>
      <w:r>
        <w:rPr>
          <w:b/>
          <w:color w:val="EB8C00"/>
        </w:rPr>
        <w:t xml:space="preserve">│ </w:t>
      </w:r>
      <w:r>
        <w:rPr>
          <w:i/>
          <w:color w:val="6E6E6E"/>
        </w:rPr>
        <w:t>생성 시각: 2026-02-28 18:23:26 | 모드: IC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D04A0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D04A0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D04A0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b/>
      <w:bCs/>
      <w:i/>
      <w:iCs/>
      <w:color w:val="D04A0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