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D5CB5" w:rsidRPr="00E338B9" w:rsidTr="00F23055">
        <w:trPr>
          <w:jc w:val="center"/>
        </w:trPr>
        <w:tc>
          <w:tcPr>
            <w:tcW w:w="9062" w:type="dxa"/>
          </w:tcPr>
          <w:p w:rsidR="005D5CB5" w:rsidRPr="00E338B9" w:rsidRDefault="00AB4CAA" w:rsidP="00635744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Evaluation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 xml:space="preserve"> : Les liaisons et </w:t>
            </w:r>
            <w:r w:rsidR="00635744" w:rsidRPr="00E338B9">
              <w:rPr>
                <w:rFonts w:ascii="Comic Sans MS" w:hAnsi="Comic Sans MS"/>
                <w:sz w:val="24"/>
                <w:szCs w:val="24"/>
              </w:rPr>
              <w:t>les a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>ssemblages</w:t>
            </w:r>
          </w:p>
        </w:tc>
      </w:tr>
      <w:tr w:rsidR="00442E9D" w:rsidRPr="00E338B9" w:rsidTr="00F23055">
        <w:trPr>
          <w:jc w:val="center"/>
        </w:trPr>
        <w:tc>
          <w:tcPr>
            <w:tcW w:w="9062" w:type="dxa"/>
          </w:tcPr>
          <w:p w:rsidR="00442E9D" w:rsidRPr="00E338B9" w:rsidRDefault="00442E9D" w:rsidP="00F23055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NOM 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Prénom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Classe :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……………………………..</w:t>
            </w:r>
          </w:p>
        </w:tc>
      </w:tr>
    </w:tbl>
    <w:p w:rsidR="00B860BB" w:rsidRPr="00E338B9" w:rsidRDefault="00B860BB">
      <w:pPr>
        <w:rPr>
          <w:rFonts w:ascii="Comic Sans MS" w:hAnsi="Comic Sans MS"/>
          <w:sz w:val="24"/>
          <w:szCs w:val="24"/>
        </w:rPr>
      </w:pPr>
    </w:p>
    <w:p w:rsidR="005D5CB5" w:rsidRPr="00E338B9" w:rsidRDefault="000A146F" w:rsidP="00635744">
      <w:pPr>
        <w:rPr>
          <w:rFonts w:ascii="Comic Sans MS" w:hAnsi="Comic Sans MS"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t>Compléter ce paragraphe pour obtenir les 3 éléments d’un bon assemblage</w:t>
      </w:r>
      <w:r w:rsidR="00E338B9" w:rsidRPr="00E338B9">
        <w:rPr>
          <w:rFonts w:ascii="Comic Sans MS" w:hAnsi="Comic Sans MS"/>
          <w:b/>
          <w:bCs/>
          <w:sz w:val="24"/>
          <w:szCs w:val="24"/>
        </w:rPr>
        <w:t>.</w:t>
      </w:r>
      <w:r w:rsidRPr="00E338B9">
        <w:rPr>
          <w:rFonts w:ascii="Comic Sans MS" w:hAnsi="Comic Sans MS"/>
          <w:sz w:val="24"/>
          <w:szCs w:val="24"/>
        </w:rPr>
        <w:tab/>
      </w:r>
      <w:r w:rsidRPr="00E338B9">
        <w:rPr>
          <w:rFonts w:ascii="Comic Sans MS" w:hAnsi="Comic Sans MS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/>
          <w:sz w:val="24"/>
          <w:szCs w:val="24"/>
        </w:rPr>
        <w:t>/3</w:t>
      </w:r>
    </w:p>
    <w:p w:rsidR="005D5CB5" w:rsidRPr="00E338B9" w:rsidRDefault="00FE0954" w:rsidP="00586B4D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color w:val="374151"/>
          <w:sz w:val="24"/>
          <w:szCs w:val="24"/>
        </w:rPr>
        <w:t>Il est essentiel qu'un assemblage de qualité préserve l'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 xml:space="preserve">pour être 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conform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>e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aux attentes du client et au plan établi. Il doit également garantir une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suffisante pour résister aux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contraintes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,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l’exécution de l’a</w:t>
      </w:r>
      <w:r w:rsidR="00F15DEF" w:rsidRPr="00E338B9">
        <w:rPr>
          <w:rFonts w:ascii="Comic Sans MS" w:hAnsi="Comic Sans MS" w:cs="Segoe UI"/>
          <w:color w:val="374151"/>
          <w:sz w:val="24"/>
          <w:szCs w:val="24"/>
        </w:rPr>
        <w:t>ssemble doit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pouvoir se faire 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afin de maîtriser les coûts de fabrication.</w:t>
      </w:r>
    </w:p>
    <w:p w:rsidR="00BE30F1" w:rsidRPr="00E338B9" w:rsidRDefault="000A146F" w:rsidP="00635744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Compléter avec le nom des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5 types de liaison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possible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.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/5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635744" w:rsidRPr="00E338B9" w:rsidTr="000A146F">
        <w:trPr>
          <w:jc w:val="center"/>
        </w:trPr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t>Exemple</w:t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1.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366F7E" w:rsidRPr="00E338B9" w:rsidRDefault="004A7888" w:rsidP="000A146F">
            <w:pPr>
              <w:spacing w:line="480" w:lineRule="auto"/>
              <w:ind w:left="57" w:right="57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5734</wp:posOffset>
                  </wp:positionV>
                  <wp:extent cx="2279015" cy="927735"/>
                  <wp:effectExtent l="0" t="0" r="6985" b="5715"/>
                  <wp:wrapTight wrapText="bothSides">
                    <wp:wrapPolygon edited="0">
                      <wp:start x="5055" y="0"/>
                      <wp:lineTo x="903" y="10201"/>
                      <wp:lineTo x="0" y="13306"/>
                      <wp:lineTo x="0" y="19959"/>
                      <wp:lineTo x="10472" y="21290"/>
                      <wp:lineTo x="16430" y="21290"/>
                      <wp:lineTo x="16611" y="20402"/>
                      <wp:lineTo x="18958" y="15080"/>
                      <wp:lineTo x="21486" y="7984"/>
                      <wp:lineTo x="21486" y="1774"/>
                      <wp:lineTo x="20041" y="887"/>
                      <wp:lineTo x="9930" y="0"/>
                      <wp:lineTo x="5055" y="0"/>
                    </wp:wrapPolygon>
                  </wp:wrapTight>
                  <wp:docPr id="2" name="Picture 2" descr="Les liaisons d'élargissement pour panneaux de bois Panneauxplatj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s liaisons d'élargissement pour panneaux de bois Panneauxplatj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2.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715408</wp:posOffset>
                  </wp:positionH>
                  <wp:positionV relativeFrom="paragraph">
                    <wp:posOffset>7260</wp:posOffset>
                  </wp:positionV>
                  <wp:extent cx="1426845" cy="1052195"/>
                  <wp:effectExtent l="0" t="0" r="1905" b="0"/>
                  <wp:wrapTight wrapText="bothSides">
                    <wp:wrapPolygon edited="0">
                      <wp:start x="0" y="0"/>
                      <wp:lineTo x="0" y="21118"/>
                      <wp:lineTo x="21340" y="21118"/>
                      <wp:lineTo x="213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3.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2512</wp:posOffset>
                  </wp:positionV>
                  <wp:extent cx="1813057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35" y="21346"/>
                      <wp:lineTo x="2133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4.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E07A18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-24462</wp:posOffset>
                  </wp:positionH>
                  <wp:positionV relativeFrom="paragraph">
                    <wp:posOffset>87317</wp:posOffset>
                  </wp:positionV>
                  <wp:extent cx="2397125" cy="982345"/>
                  <wp:effectExtent l="0" t="0" r="3175" b="8255"/>
                  <wp:wrapTight wrapText="bothSides">
                    <wp:wrapPolygon edited="0">
                      <wp:start x="0" y="0"/>
                      <wp:lineTo x="0" y="21363"/>
                      <wp:lineTo x="21457" y="21363"/>
                      <wp:lineTo x="2145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5.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0A146F" w:rsidRPr="00E338B9" w:rsidRDefault="000A146F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650941</wp:posOffset>
                  </wp:positionH>
                  <wp:positionV relativeFrom="paragraph">
                    <wp:posOffset>57785</wp:posOffset>
                  </wp:positionV>
                  <wp:extent cx="128206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183" y="21346"/>
                      <wp:lineTo x="21183" y="0"/>
                      <wp:lineTo x="0" y="0"/>
                    </wp:wrapPolygon>
                  </wp:wrapTight>
                  <wp:docPr id="5" name="Picture 5" descr="Vocabulaire technique – RCP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cabulaire technique – RCP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  <w:p w:rsidR="000A146F" w:rsidRPr="00E338B9" w:rsidRDefault="000A146F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30F1" w:rsidRPr="00E338B9" w:rsidRDefault="00BE30F1" w:rsidP="00F036E0">
      <w:pPr>
        <w:rPr>
          <w:rFonts w:ascii="Comic Sans MS" w:hAnsi="Comic Sans MS"/>
          <w:sz w:val="24"/>
          <w:szCs w:val="24"/>
        </w:rPr>
      </w:pPr>
    </w:p>
    <w:p w:rsidR="00635744" w:rsidRPr="00E338B9" w:rsidRDefault="00512453" w:rsidP="005D2047">
      <w:pPr>
        <w:rPr>
          <w:rFonts w:ascii="Comic Sans MS" w:hAnsi="Comic Sans MS"/>
          <w:b/>
          <w:bCs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lastRenderedPageBreak/>
        <w:t xml:space="preserve">Relier les définitions aux noms des assemblages : </w:t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9E04C1" w:rsidRPr="00E338B9">
        <w:rPr>
          <w:rFonts w:ascii="Comic Sans MS" w:hAnsi="Comic Sans MS"/>
          <w:sz w:val="24"/>
          <w:szCs w:val="24"/>
        </w:rPr>
        <w:tab/>
      </w:r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/</w:t>
      </w:r>
      <w:r w:rsidR="005D2047" w:rsidRPr="00E338B9">
        <w:rPr>
          <w:rFonts w:ascii="Comic Sans MS" w:hAnsi="Comic Sans MS" w:cs="Segoe UI"/>
          <w:color w:val="374151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3240"/>
        <w:gridCol w:w="3608"/>
      </w:tblGrid>
      <w:tr w:rsidR="0068025C" w:rsidRPr="00E338B9" w:rsidTr="00477A4F">
        <w:tc>
          <w:tcPr>
            <w:tcW w:w="3608" w:type="dxa"/>
            <w:tcBorders>
              <w:bottom w:val="single" w:sz="4" w:space="0" w:color="auto"/>
            </w:tcBorders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Nom</w:t>
            </w:r>
            <w:r w:rsidR="0068025C"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de l’assemblage</w:t>
            </w:r>
          </w:p>
        </w:tc>
        <w:tc>
          <w:tcPr>
            <w:tcW w:w="3240" w:type="dxa"/>
            <w:vMerge w:val="restart"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Définition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Tenon-mortaise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68025C">
            <w:pPr>
              <w:pStyle w:val="Default"/>
              <w:rPr>
                <w:sz w:val="22"/>
                <w:szCs w:val="22"/>
              </w:rPr>
            </w:pPr>
            <w:r w:rsidRPr="00E338B9">
              <w:rPr>
                <w:sz w:val="22"/>
                <w:szCs w:val="22"/>
              </w:rPr>
              <w:t>Assemblage entre deux pièces de bois qui se chevauchent.  La section de chaque pièce est réduite de moitié pour laisser passer l'autre</w:t>
            </w:r>
            <w:r w:rsidR="00E338B9" w:rsidRPr="00E338B9">
              <w:rPr>
                <w:sz w:val="22"/>
                <w:szCs w:val="22"/>
              </w:rPr>
              <w:t>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Rainure languette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Assemblage dont le tenon et la mortaise occupent toute la longueur de la pièce de bois, sans épaulement.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Contre-profil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68025C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Un assemblage qui consiste à usiner les deux pièces à assembler selon des formes complémentaires.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Le plat joint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464411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Un</w:t>
            </w:r>
            <w:r w:rsidR="00E338B9" w:rsidRPr="00E338B9">
              <w:rPr>
                <w:rFonts w:ascii="Comic Sans MS" w:hAnsi="Comic Sans MS"/>
              </w:rPr>
              <w:t xml:space="preserve"> assemblage qui consiste à </w:t>
            </w:r>
            <w:r w:rsidRPr="00E338B9">
              <w:rPr>
                <w:rFonts w:ascii="Comic Sans MS" w:hAnsi="Comic Sans MS"/>
              </w:rPr>
              <w:t xml:space="preserve">encastrer une partie mâle, dans l’autre pièce où se trouve une fente. 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Bouvetage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D2047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 xml:space="preserve">Un assemblage </w:t>
            </w:r>
            <w:r w:rsidR="005D2047" w:rsidRPr="00E338B9">
              <w:rPr>
                <w:rFonts w:ascii="Comic Sans MS" w:hAnsi="Comic Sans MS"/>
              </w:rPr>
              <w:t>d’élargissement</w:t>
            </w:r>
            <w:r w:rsidR="00E338B9" w:rsidRPr="00E338B9">
              <w:rPr>
                <w:rFonts w:ascii="Comic Sans MS" w:hAnsi="Comic Sans MS"/>
              </w:rPr>
              <w:t xml:space="preserve"> a</w:t>
            </w:r>
            <w:r w:rsidRPr="00E338B9">
              <w:rPr>
                <w:rFonts w:ascii="Comic Sans MS" w:hAnsi="Comic Sans MS"/>
              </w:rPr>
              <w:t xml:space="preserve">vec un profil fait en longueur </w:t>
            </w:r>
            <w:r w:rsidR="005D2047" w:rsidRPr="00E338B9">
              <w:rPr>
                <w:rFonts w:ascii="Comic Sans MS" w:hAnsi="Comic Sans MS"/>
              </w:rPr>
              <w:t>dans l'épaisseur d’une</w:t>
            </w:r>
            <w:r w:rsidRPr="00E338B9">
              <w:rPr>
                <w:rFonts w:ascii="Comic Sans MS" w:hAnsi="Comic Sans MS"/>
              </w:rPr>
              <w:t xml:space="preserve"> planche, </w:t>
            </w:r>
            <w:r w:rsidR="005D2047" w:rsidRPr="00E338B9">
              <w:rPr>
                <w:rFonts w:ascii="Comic Sans MS" w:hAnsi="Comic Sans MS"/>
              </w:rPr>
              <w:t>qu</w:t>
            </w:r>
            <w:r w:rsidR="00E338B9" w:rsidRPr="00E338B9">
              <w:rPr>
                <w:rFonts w:ascii="Comic Sans MS" w:hAnsi="Comic Sans MS"/>
              </w:rPr>
              <w:t>e l</w:t>
            </w:r>
            <w:r w:rsidR="005D2047" w:rsidRPr="00E338B9">
              <w:rPr>
                <w:rFonts w:ascii="Comic Sans MS" w:hAnsi="Comic Sans MS"/>
              </w:rPr>
              <w:t>’</w:t>
            </w:r>
            <w:r w:rsidRPr="00E338B9">
              <w:rPr>
                <w:rFonts w:ascii="Comic Sans MS" w:hAnsi="Comic Sans MS"/>
              </w:rPr>
              <w:t xml:space="preserve">on introduit </w:t>
            </w:r>
            <w:r w:rsidR="005D2047" w:rsidRPr="00E338B9">
              <w:rPr>
                <w:rFonts w:ascii="Comic Sans MS" w:hAnsi="Comic Sans MS"/>
              </w:rPr>
              <w:t xml:space="preserve">dans </w:t>
            </w:r>
            <w:r w:rsidRPr="00E338B9">
              <w:rPr>
                <w:rFonts w:ascii="Comic Sans MS" w:hAnsi="Comic Sans MS"/>
              </w:rPr>
              <w:t xml:space="preserve">un autre profil sur toute </w:t>
            </w:r>
            <w:r w:rsidR="00E338B9">
              <w:rPr>
                <w:rFonts w:ascii="Comic Sans MS" w:hAnsi="Comic Sans MS"/>
              </w:rPr>
              <w:t>la longueur de la pièce adverse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5D2047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noProof/>
                <w:sz w:val="36"/>
                <w:szCs w:val="36"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231784</wp:posOffset>
                      </wp:positionV>
                      <wp:extent cx="2074460" cy="2142699"/>
                      <wp:effectExtent l="38100" t="38100" r="40640" b="482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4460" cy="2142699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0CAE9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18.25pt" to="337.7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" strokecolor="black [3200]" strokeweight="3pt">
                      <v:stroke startarrow="open" endarrow="open"/>
                    </v:line>
                  </w:pict>
                </mc:Fallback>
              </mc:AlternateContent>
            </w:r>
            <w:r w:rsidR="0068025C" w:rsidRPr="00E338B9">
              <w:rPr>
                <w:rFonts w:ascii="Comic Sans MS" w:hAnsi="Comic Sans MS"/>
                <w:sz w:val="36"/>
                <w:szCs w:val="36"/>
              </w:rPr>
              <w:t>Enfourchement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BE4E84">
            <w:pPr>
              <w:jc w:val="both"/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 xml:space="preserve">Un assemblage </w:t>
            </w:r>
            <w:r w:rsidR="00E338B9" w:rsidRPr="00E338B9">
              <w:rPr>
                <w:rFonts w:ascii="Comic Sans MS" w:hAnsi="Comic Sans MS"/>
              </w:rPr>
              <w:t xml:space="preserve">qui </w:t>
            </w:r>
            <w:r w:rsidRPr="00E338B9">
              <w:rPr>
                <w:rFonts w:ascii="Comic Sans MS" w:hAnsi="Comic Sans MS"/>
              </w:rPr>
              <w:t>tire son nom de sa forme en queue d'hirondelle</w:t>
            </w:r>
            <w:r w:rsidR="005D2047" w:rsidRPr="00E338B9">
              <w:rPr>
                <w:rFonts w:ascii="Comic Sans MS" w:hAnsi="Comic Sans MS"/>
              </w:rPr>
              <w:t xml:space="preserve"> 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Mi-Bois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L’assemblage le plus élémentaire, il consiste à coller cha</w:t>
            </w:r>
            <w:r w:rsidR="00E338B9">
              <w:rPr>
                <w:rFonts w:ascii="Comic Sans MS" w:hAnsi="Comic Sans MS"/>
              </w:rPr>
              <w:t>nt sur chant les pièces de bois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Embrèvement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D2047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Désigne, de manière générique, le fait de profiler les chants de pièces de bois dans le but de garantir leur</w:t>
            </w:r>
            <w:r w:rsidR="00E338B9">
              <w:rPr>
                <w:rFonts w:ascii="Comic Sans MS" w:hAnsi="Comic Sans MS"/>
              </w:rPr>
              <w:t>s</w:t>
            </w:r>
            <w:r w:rsidRPr="00E338B9">
              <w:rPr>
                <w:rFonts w:ascii="Comic Sans MS" w:hAnsi="Comic Sans MS"/>
              </w:rPr>
              <w:t xml:space="preserve"> assemblage</w:t>
            </w:r>
            <w:r w:rsidR="00E338B9">
              <w:rPr>
                <w:rFonts w:ascii="Comic Sans MS" w:hAnsi="Comic Sans MS"/>
              </w:rPr>
              <w:t>s</w:t>
            </w:r>
          </w:p>
        </w:tc>
      </w:tr>
      <w:tr w:rsidR="0068025C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Queue d’aronde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68025C" w:rsidP="00512453">
            <w:pPr>
              <w:rPr>
                <w:rFonts w:ascii="Comic Sans MS" w:hAnsi="Comic Sans MS"/>
              </w:rPr>
            </w:pPr>
            <w:r w:rsidRPr="00E338B9">
              <w:rPr>
                <w:rFonts w:ascii="Comic Sans MS" w:hAnsi="Comic Sans MS"/>
              </w:rPr>
              <w:t>Mode d’assemblage par lequel on relie deux pièces de bois, d'épaisseurs identiques ou différentes, taillées de façon à s’incruster l’une dans l’autre</w:t>
            </w:r>
          </w:p>
        </w:tc>
      </w:tr>
    </w:tbl>
    <w:p w:rsidR="00635744" w:rsidRPr="00E338B9" w:rsidRDefault="00635744" w:rsidP="00F036E0">
      <w:pPr>
        <w:rPr>
          <w:rFonts w:ascii="Comic Sans MS" w:hAnsi="Comic Sans MS"/>
          <w:sz w:val="24"/>
          <w:szCs w:val="24"/>
        </w:rPr>
      </w:pPr>
    </w:p>
    <w:p w:rsidR="005D2047" w:rsidRPr="00376C88" w:rsidRDefault="005D2047" w:rsidP="001175C0">
      <w:pPr>
        <w:rPr>
          <w:rFonts w:ascii="Comic Sans MS" w:hAnsi="Comic Sans MS"/>
          <w:b/>
          <w:bCs/>
          <w:sz w:val="24"/>
          <w:szCs w:val="24"/>
        </w:rPr>
      </w:pPr>
      <w:r w:rsidRPr="00376C88">
        <w:rPr>
          <w:rFonts w:ascii="Comic Sans MS" w:hAnsi="Comic Sans MS"/>
          <w:b/>
          <w:bCs/>
          <w:sz w:val="24"/>
          <w:szCs w:val="24"/>
        </w:rPr>
        <w:t xml:space="preserve">Barrer 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>l</w:t>
      </w:r>
      <w:r w:rsidRPr="00376C88">
        <w:rPr>
          <w:rFonts w:ascii="Comic Sans MS" w:hAnsi="Comic Sans MS"/>
          <w:b/>
          <w:bCs/>
          <w:sz w:val="24"/>
          <w:szCs w:val="24"/>
        </w:rPr>
        <w:t xml:space="preserve">es quatre mots </w:t>
      </w:r>
      <w:r w:rsidR="00673D35" w:rsidRPr="00376C88">
        <w:rPr>
          <w:rFonts w:ascii="Comic Sans MS" w:hAnsi="Comic Sans MS"/>
          <w:b/>
          <w:bCs/>
          <w:sz w:val="24"/>
          <w:szCs w:val="24"/>
        </w:rPr>
        <w:t>qui ne sont pas</w:t>
      </w:r>
      <w:r w:rsidR="001175C0" w:rsidRPr="00376C88">
        <w:rPr>
          <w:rFonts w:ascii="Comic Sans MS" w:hAnsi="Comic Sans MS"/>
          <w:b/>
          <w:bCs/>
          <w:sz w:val="24"/>
          <w:szCs w:val="24"/>
        </w:rPr>
        <w:t xml:space="preserve"> liés au</w:t>
      </w:r>
      <w:r w:rsidR="00673D35" w:rsidRPr="00376C88">
        <w:rPr>
          <w:rFonts w:ascii="Comic Sans MS" w:hAnsi="Comic Sans MS"/>
          <w:b/>
          <w:bCs/>
          <w:sz w:val="24"/>
          <w:szCs w:val="24"/>
        </w:rPr>
        <w:t xml:space="preserve"> vocabulaire </w:t>
      </w:r>
      <w:r w:rsidR="001175C0" w:rsidRPr="00376C88">
        <w:rPr>
          <w:rFonts w:ascii="Comic Sans MS" w:hAnsi="Comic Sans MS"/>
          <w:b/>
          <w:bCs/>
          <w:sz w:val="24"/>
          <w:szCs w:val="24"/>
        </w:rPr>
        <w:t>des</w:t>
      </w:r>
      <w:r w:rsidRPr="00376C88">
        <w:rPr>
          <w:rFonts w:ascii="Comic Sans MS" w:hAnsi="Comic Sans MS"/>
          <w:b/>
          <w:bCs/>
          <w:sz w:val="24"/>
          <w:szCs w:val="24"/>
        </w:rPr>
        <w:t xml:space="preserve"> assemblages :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 xml:space="preserve"> 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r w:rsidRPr="00376C88">
        <w:rPr>
          <w:rFonts w:ascii="Comic Sans MS" w:hAnsi="Comic Sans MS"/>
          <w:sz w:val="24"/>
          <w:szCs w:val="24"/>
        </w:rPr>
        <w:t>….</w:t>
      </w:r>
      <w:proofErr w:type="gramEnd"/>
      <w:r w:rsidRPr="00376C88">
        <w:rPr>
          <w:rFonts w:ascii="Comic Sans MS" w:hAnsi="Comic Sans MS"/>
          <w:sz w:val="24"/>
          <w:szCs w:val="24"/>
        </w:rPr>
        <w:t>/4</w:t>
      </w:r>
    </w:p>
    <w:p w:rsidR="000A146F" w:rsidRPr="00E338B9" w:rsidRDefault="00673D35" w:rsidP="00376C88">
      <w:pPr>
        <w:rPr>
          <w:rFonts w:ascii="Comic Sans MS" w:hAnsi="Comic Sans MS"/>
          <w:sz w:val="24"/>
          <w:szCs w:val="24"/>
        </w:rPr>
      </w:pPr>
      <w:r w:rsidRPr="00376C88">
        <w:rPr>
          <w:rFonts w:ascii="Comic Sans MS" w:hAnsi="Comic Sans MS"/>
          <w:sz w:val="24"/>
          <w:szCs w:val="24"/>
        </w:rPr>
        <w:t>Entaille –</w:t>
      </w:r>
      <w:r w:rsidR="00AB4CAA" w:rsidRPr="00376C88">
        <w:rPr>
          <w:rFonts w:ascii="Comic Sans MS" w:hAnsi="Comic Sans MS"/>
          <w:sz w:val="24"/>
          <w:szCs w:val="24"/>
        </w:rPr>
        <w:t xml:space="preserve"> Clavette </w:t>
      </w:r>
      <w:r w:rsidR="007C11C2" w:rsidRPr="00376C88">
        <w:rPr>
          <w:rFonts w:ascii="Comic Sans MS" w:hAnsi="Comic Sans MS"/>
          <w:sz w:val="24"/>
          <w:szCs w:val="24"/>
        </w:rPr>
        <w:t>-</w:t>
      </w:r>
      <w:r w:rsidRPr="00376C88">
        <w:rPr>
          <w:rFonts w:ascii="Comic Sans MS" w:hAnsi="Comic Sans MS"/>
          <w:sz w:val="24"/>
          <w:szCs w:val="24"/>
        </w:rPr>
        <w:t xml:space="preserve"> Plat joint – Domino – Tourillon</w:t>
      </w:r>
      <w:r w:rsidR="00376C88">
        <w:rPr>
          <w:rFonts w:ascii="Comic Sans MS" w:hAnsi="Comic Sans MS"/>
          <w:sz w:val="24"/>
          <w:szCs w:val="24"/>
        </w:rPr>
        <w:t xml:space="preserve"> </w:t>
      </w:r>
      <w:r w:rsidR="00376C88" w:rsidRPr="00376C88">
        <w:rPr>
          <w:rFonts w:ascii="Comic Sans MS" w:hAnsi="Comic Sans MS"/>
          <w:sz w:val="24"/>
          <w:szCs w:val="24"/>
        </w:rPr>
        <w:t>– Contre profil – Tenon à vif -  Triphasé</w:t>
      </w:r>
      <w:r w:rsidRPr="00376C88">
        <w:rPr>
          <w:rFonts w:ascii="Comic Sans MS" w:hAnsi="Comic Sans MS"/>
          <w:sz w:val="24"/>
          <w:szCs w:val="24"/>
        </w:rPr>
        <w:t xml:space="preserve"> – </w:t>
      </w:r>
      <w:r w:rsidR="006B441C" w:rsidRPr="00376C88">
        <w:rPr>
          <w:rFonts w:ascii="Comic Sans MS" w:hAnsi="Comic Sans MS"/>
          <w:sz w:val="24"/>
          <w:szCs w:val="24"/>
        </w:rPr>
        <w:t>R</w:t>
      </w:r>
      <w:r w:rsidRPr="00376C88">
        <w:rPr>
          <w:rFonts w:ascii="Comic Sans MS" w:hAnsi="Comic Sans MS"/>
          <w:sz w:val="24"/>
          <w:szCs w:val="24"/>
        </w:rPr>
        <w:t xml:space="preserve">ainure languette – </w:t>
      </w:r>
      <w:r w:rsidR="00BF2976" w:rsidRPr="00376C88">
        <w:rPr>
          <w:rFonts w:ascii="Comic Sans MS" w:hAnsi="Comic Sans MS"/>
          <w:sz w:val="24"/>
          <w:szCs w:val="24"/>
        </w:rPr>
        <w:t>Triple Double</w:t>
      </w:r>
      <w:r w:rsidR="006B441C" w:rsidRPr="00376C88">
        <w:rPr>
          <w:rFonts w:ascii="Comic Sans MS" w:hAnsi="Comic Sans MS"/>
          <w:sz w:val="24"/>
          <w:szCs w:val="24"/>
        </w:rPr>
        <w:t xml:space="preserve"> </w:t>
      </w:r>
      <w:r w:rsidRPr="00376C88">
        <w:rPr>
          <w:rFonts w:ascii="Comic Sans MS" w:hAnsi="Comic Sans MS"/>
          <w:sz w:val="24"/>
          <w:szCs w:val="24"/>
        </w:rPr>
        <w:t xml:space="preserve">– Queue droite – Trait de Jupiter </w:t>
      </w:r>
      <w:r w:rsidR="00622619" w:rsidRPr="00376C88">
        <w:rPr>
          <w:rFonts w:ascii="Comic Sans MS" w:hAnsi="Comic Sans MS"/>
          <w:sz w:val="24"/>
          <w:szCs w:val="24"/>
        </w:rPr>
        <w:t xml:space="preserve">– Embrèvement - Dent de scie </w:t>
      </w:r>
      <w:r w:rsidRPr="00376C88">
        <w:rPr>
          <w:rFonts w:ascii="Comic Sans MS" w:hAnsi="Comic Sans MS"/>
          <w:sz w:val="24"/>
          <w:szCs w:val="24"/>
        </w:rPr>
        <w:t xml:space="preserve">– Croix de Saint André – Tenon à vif – Flottage en saillie </w:t>
      </w:r>
      <w:r w:rsidR="006B441C" w:rsidRPr="00376C88">
        <w:rPr>
          <w:rFonts w:ascii="Comic Sans MS" w:hAnsi="Comic Sans MS"/>
          <w:sz w:val="24"/>
          <w:szCs w:val="24"/>
        </w:rPr>
        <w:t>–</w:t>
      </w:r>
      <w:r w:rsidRPr="00376C88">
        <w:rPr>
          <w:rFonts w:ascii="Comic Sans MS" w:hAnsi="Comic Sans MS"/>
          <w:sz w:val="24"/>
          <w:szCs w:val="24"/>
        </w:rPr>
        <w:t xml:space="preserve"> </w:t>
      </w:r>
      <w:r w:rsidR="006B441C" w:rsidRPr="00376C88">
        <w:rPr>
          <w:rFonts w:ascii="Comic Sans MS" w:hAnsi="Comic Sans MS"/>
          <w:sz w:val="24"/>
          <w:szCs w:val="24"/>
        </w:rPr>
        <w:t xml:space="preserve">Coupe d’onglet – </w:t>
      </w:r>
      <w:r w:rsidR="004C518E">
        <w:rPr>
          <w:rFonts w:ascii="Comic Sans MS" w:hAnsi="Comic Sans MS"/>
          <w:sz w:val="24"/>
          <w:szCs w:val="24"/>
        </w:rPr>
        <w:t>Lamello -</w:t>
      </w:r>
      <w:bookmarkStart w:id="0" w:name="_GoBack"/>
      <w:bookmarkEnd w:id="0"/>
      <w:r w:rsidR="006B441C" w:rsidRPr="00376C88">
        <w:rPr>
          <w:rFonts w:ascii="Comic Sans MS" w:hAnsi="Comic Sans MS"/>
          <w:sz w:val="24"/>
          <w:szCs w:val="24"/>
        </w:rPr>
        <w:t>Enfourchement –</w:t>
      </w:r>
      <w:r w:rsidR="00E1214E" w:rsidRPr="00376C88">
        <w:rPr>
          <w:rFonts w:ascii="Comic Sans MS" w:hAnsi="Comic Sans MS"/>
          <w:sz w:val="24"/>
          <w:szCs w:val="24"/>
        </w:rPr>
        <w:t xml:space="preserve"> Faux tenon –</w:t>
      </w:r>
      <w:r w:rsidR="00AB4CAA" w:rsidRPr="00376C8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B4CAA" w:rsidRPr="00376C88">
        <w:rPr>
          <w:rFonts w:ascii="Comic Sans MS" w:hAnsi="Comic Sans MS"/>
          <w:sz w:val="24"/>
          <w:szCs w:val="24"/>
        </w:rPr>
        <w:t>Cla</w:t>
      </w:r>
      <w:r w:rsidR="00376C88" w:rsidRPr="00376C88">
        <w:rPr>
          <w:rFonts w:ascii="Comic Sans MS" w:hAnsi="Comic Sans MS"/>
          <w:sz w:val="24"/>
          <w:szCs w:val="24"/>
        </w:rPr>
        <w:t>vi</w:t>
      </w:r>
      <w:r w:rsidR="00AB4CAA" w:rsidRPr="00376C88">
        <w:rPr>
          <w:rFonts w:ascii="Comic Sans MS" w:hAnsi="Comic Sans MS"/>
          <w:sz w:val="24"/>
          <w:szCs w:val="24"/>
        </w:rPr>
        <w:t>net</w:t>
      </w:r>
      <w:proofErr w:type="spellEnd"/>
      <w:r w:rsidR="00A50B9F" w:rsidRPr="00376C88">
        <w:rPr>
          <w:rFonts w:ascii="Comic Sans MS" w:hAnsi="Comic Sans MS"/>
          <w:sz w:val="24"/>
          <w:szCs w:val="24"/>
        </w:rPr>
        <w:t xml:space="preserve"> - </w:t>
      </w:r>
      <w:r w:rsidR="00D35672" w:rsidRPr="00376C88">
        <w:rPr>
          <w:rFonts w:ascii="Comic Sans MS" w:hAnsi="Comic Sans MS"/>
          <w:sz w:val="24"/>
          <w:szCs w:val="24"/>
        </w:rPr>
        <w:t xml:space="preserve">Bouvetage </w:t>
      </w:r>
      <w:r w:rsidR="002976D6" w:rsidRPr="00376C88">
        <w:rPr>
          <w:rFonts w:ascii="Comic Sans MS" w:hAnsi="Comic Sans MS"/>
          <w:sz w:val="24"/>
          <w:szCs w:val="24"/>
        </w:rPr>
        <w:t>–</w:t>
      </w:r>
      <w:r w:rsidR="00D35672" w:rsidRPr="00376C88">
        <w:rPr>
          <w:rFonts w:ascii="Comic Sans MS" w:hAnsi="Comic Sans MS"/>
          <w:sz w:val="24"/>
          <w:szCs w:val="24"/>
        </w:rPr>
        <w:t xml:space="preserve"> Sifflet</w:t>
      </w:r>
      <w:r w:rsidR="002976D6" w:rsidRPr="00376C88">
        <w:rPr>
          <w:rFonts w:ascii="Comic Sans MS" w:hAnsi="Comic Sans MS"/>
          <w:sz w:val="24"/>
          <w:szCs w:val="24"/>
        </w:rPr>
        <w:t xml:space="preserve"> – </w:t>
      </w:r>
      <w:r w:rsidR="00BF2976" w:rsidRPr="00376C88">
        <w:rPr>
          <w:rFonts w:ascii="Comic Sans MS" w:hAnsi="Comic Sans MS"/>
          <w:sz w:val="24"/>
          <w:szCs w:val="24"/>
        </w:rPr>
        <w:t>Embrasement</w:t>
      </w:r>
      <w:r w:rsidR="002976D6" w:rsidRPr="00376C88">
        <w:rPr>
          <w:rFonts w:ascii="Comic Sans MS" w:hAnsi="Comic Sans MS"/>
          <w:sz w:val="24"/>
          <w:szCs w:val="24"/>
        </w:rPr>
        <w:t xml:space="preserve"> – Epaulement </w:t>
      </w:r>
    </w:p>
    <w:sectPr w:rsidR="000A146F" w:rsidRPr="00E338B9" w:rsidSect="00477A4F">
      <w:footerReference w:type="default" r:id="rId14"/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C3E" w:rsidRDefault="00DE5C3E" w:rsidP="00635744">
      <w:pPr>
        <w:spacing w:after="0" w:line="240" w:lineRule="auto"/>
      </w:pPr>
      <w:r>
        <w:separator/>
      </w:r>
    </w:p>
  </w:endnote>
  <w:endnote w:type="continuationSeparator" w:id="0">
    <w:p w:rsidR="00DE5C3E" w:rsidRDefault="00DE5C3E" w:rsidP="0063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728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441C" w:rsidRDefault="006B44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18E" w:rsidRPr="004C518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B441C" w:rsidRDefault="006B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C3E" w:rsidRDefault="00DE5C3E" w:rsidP="00635744">
      <w:pPr>
        <w:spacing w:after="0" w:line="240" w:lineRule="auto"/>
      </w:pPr>
      <w:r>
        <w:separator/>
      </w:r>
    </w:p>
  </w:footnote>
  <w:footnote w:type="continuationSeparator" w:id="0">
    <w:p w:rsidR="00DE5C3E" w:rsidRDefault="00DE5C3E" w:rsidP="0063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C0B51"/>
    <w:multiLevelType w:val="hybridMultilevel"/>
    <w:tmpl w:val="B396F6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5"/>
    <w:rsid w:val="000A146F"/>
    <w:rsid w:val="00102179"/>
    <w:rsid w:val="001175C0"/>
    <w:rsid w:val="00226392"/>
    <w:rsid w:val="00251BF1"/>
    <w:rsid w:val="002976D6"/>
    <w:rsid w:val="00323FFF"/>
    <w:rsid w:val="00366F7E"/>
    <w:rsid w:val="00376C88"/>
    <w:rsid w:val="00442E9D"/>
    <w:rsid w:val="004501D9"/>
    <w:rsid w:val="00464411"/>
    <w:rsid w:val="00477A4F"/>
    <w:rsid w:val="004A7888"/>
    <w:rsid w:val="004C518E"/>
    <w:rsid w:val="00512453"/>
    <w:rsid w:val="00517424"/>
    <w:rsid w:val="005369FE"/>
    <w:rsid w:val="00586B4D"/>
    <w:rsid w:val="005D2047"/>
    <w:rsid w:val="005D5CB5"/>
    <w:rsid w:val="00622619"/>
    <w:rsid w:val="00635744"/>
    <w:rsid w:val="00646122"/>
    <w:rsid w:val="00673D35"/>
    <w:rsid w:val="0068025C"/>
    <w:rsid w:val="006B441C"/>
    <w:rsid w:val="006E0B97"/>
    <w:rsid w:val="006F1D79"/>
    <w:rsid w:val="007A337A"/>
    <w:rsid w:val="007C11C2"/>
    <w:rsid w:val="007F272B"/>
    <w:rsid w:val="007F3410"/>
    <w:rsid w:val="00837576"/>
    <w:rsid w:val="009E04C1"/>
    <w:rsid w:val="00A50B9F"/>
    <w:rsid w:val="00AB4CAA"/>
    <w:rsid w:val="00AE31FA"/>
    <w:rsid w:val="00B860BB"/>
    <w:rsid w:val="00BE30F1"/>
    <w:rsid w:val="00BE4E84"/>
    <w:rsid w:val="00BF2976"/>
    <w:rsid w:val="00CC3717"/>
    <w:rsid w:val="00D35672"/>
    <w:rsid w:val="00D74161"/>
    <w:rsid w:val="00DE5C3E"/>
    <w:rsid w:val="00E07A18"/>
    <w:rsid w:val="00E1214E"/>
    <w:rsid w:val="00E338B9"/>
    <w:rsid w:val="00EB5BAC"/>
    <w:rsid w:val="00F036E0"/>
    <w:rsid w:val="00F15DEF"/>
    <w:rsid w:val="00F23055"/>
    <w:rsid w:val="00F329F2"/>
    <w:rsid w:val="00F94237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FBAB"/>
  <w15:chartTrackingRefBased/>
  <w15:docId w15:val="{EAEE29C0-0A43-4933-A8D8-6E44780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CB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14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44"/>
  </w:style>
  <w:style w:type="paragraph" w:styleId="Footer">
    <w:name w:val="footer"/>
    <w:basedOn w:val="Normal"/>
    <w:link w:val="Foot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44"/>
  </w:style>
  <w:style w:type="paragraph" w:customStyle="1" w:styleId="Default">
    <w:name w:val="Default"/>
    <w:rsid w:val="00512453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047B0-4632-43B1-9038-CD541262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36</cp:revision>
  <cp:lastPrinted>2023-12-14T21:25:00Z</cp:lastPrinted>
  <dcterms:created xsi:type="dcterms:W3CDTF">2023-12-09T11:20:00Z</dcterms:created>
  <dcterms:modified xsi:type="dcterms:W3CDTF">2023-12-14T21:27:00Z</dcterms:modified>
</cp:coreProperties>
</file>